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1FA" w:rsidRPr="00690451" w:rsidRDefault="004441FA" w:rsidP="004441FA">
      <w:pPr>
        <w:pStyle w:val="Default"/>
        <w:rPr>
          <w:rFonts w:ascii="Book Antiqua" w:hAnsi="Book Antiqua"/>
        </w:rPr>
      </w:pPr>
    </w:p>
    <w:p w:rsidR="004441FA" w:rsidRPr="00EA1F1F" w:rsidRDefault="004441FA" w:rsidP="00EA1F1F">
      <w:pPr>
        <w:pStyle w:val="Default"/>
        <w:ind w:left="4111"/>
        <w:rPr>
          <w:rFonts w:ascii="Book Antiqua" w:hAnsi="Book Antiqua"/>
          <w:b/>
          <w:sz w:val="26"/>
          <w:szCs w:val="26"/>
        </w:rPr>
      </w:pPr>
      <w:r w:rsidRPr="00EA1F1F">
        <w:rPr>
          <w:rFonts w:ascii="Book Antiqua" w:hAnsi="Book Antiqua"/>
          <w:b/>
          <w:bCs/>
          <w:sz w:val="26"/>
          <w:szCs w:val="26"/>
        </w:rPr>
        <w:t xml:space="preserve">INPS - ISTITUTO NAZIONALE DELLA PREVIDENZA SOCIALE </w:t>
      </w:r>
    </w:p>
    <w:p w:rsidR="004441FA" w:rsidRPr="00690451" w:rsidRDefault="004441FA" w:rsidP="00EA1F1F">
      <w:pPr>
        <w:pStyle w:val="Default"/>
        <w:ind w:left="4111"/>
        <w:rPr>
          <w:rFonts w:ascii="Book Antiqua" w:hAnsi="Book Antiqua"/>
          <w:sz w:val="22"/>
          <w:szCs w:val="22"/>
        </w:rPr>
      </w:pPr>
      <w:r w:rsidRPr="00690451">
        <w:rPr>
          <w:rFonts w:ascii="Book Antiqua" w:hAnsi="Book Antiqua"/>
          <w:sz w:val="22"/>
          <w:szCs w:val="22"/>
        </w:rPr>
        <w:t xml:space="preserve">In persona del legale rappresentante pro tempore </w:t>
      </w:r>
    </w:p>
    <w:p w:rsidR="00113F49" w:rsidRPr="00690451" w:rsidRDefault="004441FA" w:rsidP="00EA1F1F">
      <w:pPr>
        <w:pStyle w:val="Default"/>
        <w:ind w:left="4111"/>
        <w:rPr>
          <w:rFonts w:ascii="Book Antiqua" w:hAnsi="Book Antiqua"/>
          <w:sz w:val="22"/>
          <w:szCs w:val="22"/>
        </w:rPr>
      </w:pPr>
      <w:r w:rsidRPr="00690451">
        <w:rPr>
          <w:rFonts w:ascii="Book Antiqua" w:hAnsi="Book Antiqua"/>
          <w:sz w:val="22"/>
          <w:szCs w:val="22"/>
        </w:rPr>
        <w:t>VIA CIRO IL GRANDE</w:t>
      </w:r>
      <w:r w:rsidR="00034EA7" w:rsidRPr="00690451">
        <w:rPr>
          <w:rFonts w:ascii="Book Antiqua" w:hAnsi="Book Antiqua"/>
          <w:sz w:val="22"/>
          <w:szCs w:val="22"/>
        </w:rPr>
        <w:t>, 21</w:t>
      </w:r>
      <w:r w:rsidR="00113F49" w:rsidRPr="00690451">
        <w:rPr>
          <w:rFonts w:ascii="Book Antiqua" w:hAnsi="Book Antiqua"/>
          <w:sz w:val="22"/>
          <w:szCs w:val="22"/>
        </w:rPr>
        <w:t>–</w:t>
      </w:r>
    </w:p>
    <w:p w:rsidR="004441FA" w:rsidRPr="00EA1F1F" w:rsidRDefault="004441FA" w:rsidP="00EA1F1F">
      <w:pPr>
        <w:pStyle w:val="Default"/>
        <w:ind w:left="4111"/>
        <w:rPr>
          <w:rFonts w:ascii="Book Antiqua" w:hAnsi="Book Antiqua"/>
          <w:b/>
          <w:sz w:val="26"/>
          <w:szCs w:val="26"/>
        </w:rPr>
      </w:pPr>
      <w:r w:rsidRPr="00EA1F1F">
        <w:rPr>
          <w:rFonts w:ascii="Book Antiqua" w:hAnsi="Book Antiqua"/>
          <w:b/>
          <w:sz w:val="26"/>
          <w:szCs w:val="26"/>
        </w:rPr>
        <w:t xml:space="preserve">00144 ROMA </w:t>
      </w:r>
    </w:p>
    <w:p w:rsidR="00EA1F1F" w:rsidRDefault="00EA1F1F" w:rsidP="00EA1F1F">
      <w:pPr>
        <w:pStyle w:val="Default"/>
        <w:ind w:left="4111"/>
        <w:rPr>
          <w:rFonts w:ascii="Book Antiqua" w:hAnsi="Book Antiqua"/>
          <w:sz w:val="22"/>
          <w:szCs w:val="22"/>
        </w:rPr>
      </w:pPr>
    </w:p>
    <w:p w:rsidR="004441FA" w:rsidRPr="00690451" w:rsidRDefault="004441FA" w:rsidP="00EA1F1F">
      <w:pPr>
        <w:pStyle w:val="Default"/>
        <w:ind w:left="4111"/>
        <w:rPr>
          <w:rFonts w:ascii="Book Antiqua" w:hAnsi="Book Antiqua"/>
          <w:sz w:val="22"/>
          <w:szCs w:val="22"/>
        </w:rPr>
      </w:pPr>
      <w:r w:rsidRPr="00690451">
        <w:rPr>
          <w:rFonts w:ascii="Book Antiqua" w:hAnsi="Book Antiqua"/>
          <w:sz w:val="22"/>
          <w:szCs w:val="22"/>
        </w:rPr>
        <w:t>RACCOMANDATA A</w:t>
      </w:r>
      <w:r w:rsidR="00113F49" w:rsidRPr="00690451">
        <w:rPr>
          <w:rFonts w:ascii="Book Antiqua" w:hAnsi="Book Antiqua"/>
          <w:sz w:val="22"/>
          <w:szCs w:val="22"/>
        </w:rPr>
        <w:t>.</w:t>
      </w:r>
      <w:r w:rsidRPr="00690451">
        <w:rPr>
          <w:rFonts w:ascii="Book Antiqua" w:hAnsi="Book Antiqua"/>
          <w:sz w:val="22"/>
          <w:szCs w:val="22"/>
        </w:rPr>
        <w:t>R</w:t>
      </w:r>
      <w:r w:rsidR="00113F49" w:rsidRPr="00690451">
        <w:rPr>
          <w:rFonts w:ascii="Book Antiqua" w:hAnsi="Book Antiqua"/>
          <w:sz w:val="22"/>
          <w:szCs w:val="22"/>
        </w:rPr>
        <w:t>.</w:t>
      </w:r>
    </w:p>
    <w:p w:rsidR="00113F49" w:rsidRPr="00690451" w:rsidRDefault="004441FA" w:rsidP="00EA1F1F">
      <w:pPr>
        <w:pStyle w:val="Default"/>
        <w:ind w:left="4111"/>
        <w:rPr>
          <w:rFonts w:ascii="Book Antiqua" w:hAnsi="Book Antiqua"/>
          <w:sz w:val="22"/>
          <w:szCs w:val="22"/>
        </w:rPr>
      </w:pPr>
      <w:r w:rsidRPr="00690451">
        <w:rPr>
          <w:rFonts w:ascii="Book Antiqua" w:hAnsi="Book Antiqua"/>
          <w:sz w:val="22"/>
          <w:szCs w:val="22"/>
        </w:rPr>
        <w:t>O PEC</w:t>
      </w:r>
    </w:p>
    <w:p w:rsidR="00113F49" w:rsidRPr="00690451" w:rsidRDefault="00F329FD" w:rsidP="00EA1F1F">
      <w:pPr>
        <w:pStyle w:val="Default"/>
        <w:ind w:left="4111"/>
        <w:rPr>
          <w:rFonts w:ascii="Book Antiqua" w:hAnsi="Book Antiqua"/>
          <w:sz w:val="22"/>
          <w:szCs w:val="22"/>
        </w:rPr>
      </w:pPr>
      <w:hyperlink r:id="rId7" w:history="1">
        <w:r w:rsidR="009E393A" w:rsidRPr="00C106E9">
          <w:rPr>
            <w:rStyle w:val="Collegamentoipertestuale"/>
            <w:rFonts w:ascii="Book Antiqua" w:hAnsi="Book Antiqua"/>
            <w:sz w:val="22"/>
            <w:szCs w:val="22"/>
          </w:rPr>
          <w:t>ufficiosegreteria.presidenza@postacert.inps.gov.it</w:t>
        </w:r>
      </w:hyperlink>
    </w:p>
    <w:p w:rsidR="004441FA" w:rsidRPr="00690451" w:rsidRDefault="004441FA" w:rsidP="00EA1F1F">
      <w:pPr>
        <w:pStyle w:val="Default"/>
        <w:ind w:left="4111"/>
        <w:rPr>
          <w:rFonts w:ascii="Book Antiqua" w:hAnsi="Book Antiqua"/>
          <w:color w:val="0000FF"/>
          <w:sz w:val="22"/>
          <w:szCs w:val="22"/>
        </w:rPr>
      </w:pPr>
      <w:r w:rsidRPr="00690451">
        <w:rPr>
          <w:rFonts w:ascii="Book Antiqua" w:hAnsi="Book Antiqua"/>
          <w:color w:val="0000FF"/>
          <w:sz w:val="22"/>
          <w:szCs w:val="22"/>
        </w:rPr>
        <w:t xml:space="preserve">ufficiosegreteria.direttoregenerale@postacert.inps.gov.it </w:t>
      </w:r>
    </w:p>
    <w:p w:rsidR="00113F49" w:rsidRPr="00690451" w:rsidRDefault="00113F49" w:rsidP="00EA1F1F">
      <w:pPr>
        <w:pStyle w:val="Default"/>
        <w:ind w:left="4111"/>
        <w:rPr>
          <w:rFonts w:ascii="Book Antiqua" w:hAnsi="Book Antiqua"/>
          <w:color w:val="0000FF"/>
          <w:sz w:val="22"/>
          <w:szCs w:val="22"/>
        </w:rPr>
      </w:pPr>
    </w:p>
    <w:p w:rsidR="004441FA" w:rsidRPr="00690451" w:rsidRDefault="004441FA" w:rsidP="004441FA">
      <w:pPr>
        <w:pStyle w:val="Default"/>
        <w:rPr>
          <w:rFonts w:ascii="Book Antiqua" w:hAnsi="Book Antiqua"/>
          <w:b/>
          <w:bCs/>
          <w:sz w:val="22"/>
          <w:szCs w:val="22"/>
        </w:rPr>
      </w:pPr>
    </w:p>
    <w:p w:rsidR="00034EA7" w:rsidRPr="00690451" w:rsidRDefault="00034EA7" w:rsidP="004441FA">
      <w:pPr>
        <w:pStyle w:val="Default"/>
        <w:rPr>
          <w:rFonts w:ascii="Book Antiqua" w:hAnsi="Book Antiqua"/>
          <w:b/>
          <w:bCs/>
          <w:sz w:val="22"/>
          <w:szCs w:val="22"/>
        </w:rPr>
      </w:pPr>
    </w:p>
    <w:p w:rsidR="004441FA" w:rsidRPr="00690451" w:rsidRDefault="004441FA" w:rsidP="00113F49">
      <w:pPr>
        <w:pStyle w:val="Default"/>
        <w:ind w:left="1418" w:hanging="1418"/>
        <w:rPr>
          <w:rFonts w:ascii="Book Antiqua" w:hAnsi="Book Antiqua"/>
          <w:sz w:val="22"/>
          <w:szCs w:val="22"/>
        </w:rPr>
      </w:pPr>
      <w:r w:rsidRPr="00690451">
        <w:rPr>
          <w:rFonts w:ascii="Book Antiqua" w:hAnsi="Book Antiqua"/>
          <w:b/>
          <w:bCs/>
          <w:sz w:val="22"/>
          <w:szCs w:val="22"/>
        </w:rPr>
        <w:t xml:space="preserve">OGGETTO : richiesta di rivalutazione del trattamento pensionistico per gli anni 2023-2024 e relativi adeguamenti per gli anni successivi per </w:t>
      </w:r>
      <w:r w:rsidR="00113F49" w:rsidRPr="00690451">
        <w:rPr>
          <w:rFonts w:ascii="Book Antiqua" w:hAnsi="Book Antiqua"/>
          <w:b/>
          <w:bCs/>
          <w:sz w:val="22"/>
          <w:szCs w:val="22"/>
        </w:rPr>
        <w:t>eccezione di</w:t>
      </w:r>
      <w:r w:rsidRPr="00690451">
        <w:rPr>
          <w:rFonts w:ascii="Book Antiqua" w:hAnsi="Book Antiqua"/>
          <w:b/>
          <w:bCs/>
          <w:sz w:val="22"/>
          <w:szCs w:val="22"/>
        </w:rPr>
        <w:t xml:space="preserve"> incostituzionalità dell’articolo 1, comma 309, della legge 197/2022 (Bilancio di previsione dello Stato per l'anno finanziario 2023 e bilancio pluriennale per il triennio 2023-2025) e successive modifiche </w:t>
      </w:r>
      <w:r w:rsidR="00113F49" w:rsidRPr="00690451">
        <w:rPr>
          <w:rFonts w:ascii="Book Antiqua" w:hAnsi="Book Antiqua"/>
          <w:b/>
          <w:bCs/>
          <w:sz w:val="22"/>
          <w:szCs w:val="22"/>
        </w:rPr>
        <w:t>(art. 1, comma 135, della legge 213/2023 - Bilancio di previsione dello Stato per l'anno finanziario 2024)</w:t>
      </w:r>
    </w:p>
    <w:p w:rsidR="00113F49" w:rsidRDefault="00113F49" w:rsidP="004441FA">
      <w:pPr>
        <w:pStyle w:val="Default"/>
        <w:rPr>
          <w:rFonts w:ascii="Book Antiqua" w:hAnsi="Book Antiqua"/>
          <w:sz w:val="22"/>
          <w:szCs w:val="22"/>
        </w:rPr>
      </w:pPr>
    </w:p>
    <w:p w:rsidR="00EA1F1F" w:rsidRPr="00690451" w:rsidRDefault="00EA1F1F" w:rsidP="004441FA">
      <w:pPr>
        <w:pStyle w:val="Default"/>
        <w:rPr>
          <w:rFonts w:ascii="Book Antiqua" w:hAnsi="Book Antiqua"/>
          <w:sz w:val="22"/>
          <w:szCs w:val="22"/>
        </w:rPr>
      </w:pPr>
    </w:p>
    <w:p w:rsidR="004441FA" w:rsidRPr="00690451" w:rsidRDefault="004441FA" w:rsidP="00690451">
      <w:pPr>
        <w:pStyle w:val="Default"/>
        <w:jc w:val="both"/>
        <w:rPr>
          <w:rFonts w:ascii="Book Antiqua" w:hAnsi="Book Antiqua"/>
          <w:sz w:val="22"/>
          <w:szCs w:val="22"/>
        </w:rPr>
      </w:pPr>
      <w:r w:rsidRPr="00690451">
        <w:rPr>
          <w:rFonts w:ascii="Book Antiqua" w:hAnsi="Book Antiqua"/>
          <w:sz w:val="22"/>
          <w:szCs w:val="22"/>
        </w:rPr>
        <w:t>Il</w:t>
      </w:r>
      <w:r w:rsidR="00113F49" w:rsidRPr="00690451">
        <w:rPr>
          <w:rFonts w:ascii="Book Antiqua" w:hAnsi="Book Antiqua"/>
          <w:sz w:val="22"/>
          <w:szCs w:val="22"/>
        </w:rPr>
        <w:t>/la</w:t>
      </w:r>
      <w:r w:rsidRPr="00690451">
        <w:rPr>
          <w:rFonts w:ascii="Book Antiqua" w:hAnsi="Book Antiqua"/>
          <w:sz w:val="22"/>
          <w:szCs w:val="22"/>
        </w:rPr>
        <w:t xml:space="preserve"> sottoscritto</w:t>
      </w:r>
      <w:r w:rsidR="00113F49" w:rsidRPr="00690451">
        <w:rPr>
          <w:rFonts w:ascii="Book Antiqua" w:hAnsi="Book Antiqua"/>
          <w:sz w:val="22"/>
          <w:szCs w:val="22"/>
        </w:rPr>
        <w:t>/a</w:t>
      </w:r>
    </w:p>
    <w:p w:rsidR="004441FA" w:rsidRPr="00690451" w:rsidRDefault="004441FA" w:rsidP="00690451">
      <w:pPr>
        <w:pStyle w:val="Default"/>
        <w:jc w:val="both"/>
        <w:rPr>
          <w:rFonts w:ascii="Book Antiqua" w:hAnsi="Book Antiqua"/>
          <w:sz w:val="22"/>
          <w:szCs w:val="22"/>
        </w:rPr>
      </w:pPr>
      <w:r w:rsidRPr="00690451">
        <w:rPr>
          <w:rFonts w:ascii="Book Antiqua" w:hAnsi="Book Antiqua"/>
          <w:sz w:val="22"/>
          <w:szCs w:val="22"/>
        </w:rPr>
        <w:t>Nome………………………………………………………….Cognome</w:t>
      </w:r>
      <w:r w:rsidR="00113F49" w:rsidRPr="00690451">
        <w:rPr>
          <w:rFonts w:ascii="Book Antiqua" w:hAnsi="Book Antiqua"/>
          <w:sz w:val="22"/>
          <w:szCs w:val="22"/>
        </w:rPr>
        <w:t>……………………………………, N</w:t>
      </w:r>
      <w:r w:rsidRPr="00690451">
        <w:rPr>
          <w:rFonts w:ascii="Book Antiqua" w:hAnsi="Book Antiqua"/>
          <w:sz w:val="22"/>
          <w:szCs w:val="22"/>
        </w:rPr>
        <w:t>ato</w:t>
      </w:r>
      <w:r w:rsidR="00113F49" w:rsidRPr="00690451">
        <w:rPr>
          <w:rFonts w:ascii="Book Antiqua" w:hAnsi="Book Antiqua"/>
          <w:sz w:val="22"/>
          <w:szCs w:val="22"/>
        </w:rPr>
        <w:t>/a</w:t>
      </w:r>
      <w:r w:rsidRPr="00690451">
        <w:rPr>
          <w:rFonts w:ascii="Book Antiqua" w:hAnsi="Book Antiqua"/>
          <w:sz w:val="22"/>
          <w:szCs w:val="22"/>
        </w:rPr>
        <w:t xml:space="preserve"> il ………………………………………….. a………………………..………………………………….., </w:t>
      </w:r>
    </w:p>
    <w:p w:rsidR="004441FA" w:rsidRPr="00690451" w:rsidRDefault="004441FA" w:rsidP="00690451">
      <w:pPr>
        <w:pStyle w:val="Default"/>
        <w:jc w:val="both"/>
        <w:rPr>
          <w:rFonts w:ascii="Book Antiqua" w:hAnsi="Book Antiqua"/>
          <w:sz w:val="22"/>
          <w:szCs w:val="22"/>
        </w:rPr>
      </w:pPr>
      <w:r w:rsidRPr="00690451">
        <w:rPr>
          <w:rFonts w:ascii="Book Antiqua" w:hAnsi="Book Antiqua"/>
          <w:sz w:val="22"/>
          <w:szCs w:val="22"/>
        </w:rPr>
        <w:t xml:space="preserve">Residente in ………………………………………….………, Provincia di……………………………….…., </w:t>
      </w:r>
    </w:p>
    <w:p w:rsidR="004441FA" w:rsidRPr="00690451" w:rsidRDefault="004441FA" w:rsidP="00690451">
      <w:pPr>
        <w:pStyle w:val="Default"/>
        <w:jc w:val="both"/>
        <w:rPr>
          <w:rFonts w:ascii="Book Antiqua" w:hAnsi="Book Antiqua"/>
          <w:sz w:val="22"/>
          <w:szCs w:val="22"/>
        </w:rPr>
      </w:pPr>
      <w:r w:rsidRPr="00690451">
        <w:rPr>
          <w:rFonts w:ascii="Book Antiqua" w:hAnsi="Book Antiqua"/>
          <w:sz w:val="22"/>
          <w:szCs w:val="22"/>
        </w:rPr>
        <w:t xml:space="preserve">Indirizzo…………………………………………………………………………………………………………CAP………………………………….. </w:t>
      </w:r>
      <w:r w:rsidR="005B3DCB" w:rsidRPr="00690451">
        <w:rPr>
          <w:rFonts w:ascii="Book Antiqua" w:hAnsi="Book Antiqua"/>
          <w:sz w:val="22"/>
          <w:szCs w:val="22"/>
        </w:rPr>
        <w:t>presso cui elegge domicilio ai fini del presente atto</w:t>
      </w:r>
    </w:p>
    <w:p w:rsidR="004441FA" w:rsidRPr="00690451" w:rsidRDefault="004441FA" w:rsidP="00690451">
      <w:pPr>
        <w:pStyle w:val="Default"/>
        <w:jc w:val="both"/>
        <w:rPr>
          <w:rFonts w:ascii="Book Antiqua" w:hAnsi="Book Antiqua"/>
          <w:sz w:val="22"/>
          <w:szCs w:val="22"/>
        </w:rPr>
      </w:pPr>
      <w:r w:rsidRPr="00690451">
        <w:rPr>
          <w:rFonts w:ascii="Book Antiqua" w:hAnsi="Book Antiqua"/>
          <w:sz w:val="22"/>
          <w:szCs w:val="22"/>
        </w:rPr>
        <w:t xml:space="preserve">C.F.……………………………………………………………………………………………………………… </w:t>
      </w:r>
    </w:p>
    <w:p w:rsidR="00113F49" w:rsidRPr="00690451" w:rsidRDefault="00113F49" w:rsidP="00690451">
      <w:pPr>
        <w:pStyle w:val="Default"/>
        <w:jc w:val="both"/>
        <w:rPr>
          <w:rFonts w:ascii="Book Antiqua" w:hAnsi="Book Antiqua"/>
          <w:sz w:val="22"/>
          <w:szCs w:val="22"/>
        </w:rPr>
      </w:pPr>
      <w:r w:rsidRPr="00690451">
        <w:rPr>
          <w:rFonts w:ascii="Book Antiqua" w:hAnsi="Book Antiqua"/>
          <w:sz w:val="22"/>
          <w:szCs w:val="22"/>
        </w:rPr>
        <w:t>Posta elettronica……………………………….@...........................</w:t>
      </w:r>
    </w:p>
    <w:p w:rsidR="00113F49" w:rsidRDefault="00113F49" w:rsidP="00690451">
      <w:pPr>
        <w:pStyle w:val="Default"/>
        <w:jc w:val="both"/>
        <w:rPr>
          <w:rFonts w:ascii="Book Antiqua" w:hAnsi="Book Antiqua"/>
          <w:b/>
          <w:i/>
          <w:sz w:val="22"/>
          <w:szCs w:val="22"/>
        </w:rPr>
      </w:pPr>
      <w:r w:rsidRPr="00690451">
        <w:rPr>
          <w:rFonts w:ascii="Book Antiqua" w:hAnsi="Book Antiqua"/>
          <w:sz w:val="22"/>
          <w:szCs w:val="22"/>
        </w:rPr>
        <w:t>Posta elettronica certificata…………………………@..................................presso cui elegge domicilio ai fini del presente atto</w:t>
      </w:r>
      <w:r w:rsidR="002D1D0D" w:rsidRPr="00690451">
        <w:rPr>
          <w:rFonts w:ascii="Book Antiqua" w:hAnsi="Book Antiqua"/>
          <w:b/>
          <w:i/>
          <w:sz w:val="22"/>
          <w:szCs w:val="22"/>
        </w:rPr>
        <w:t>(se in possesso)</w:t>
      </w:r>
    </w:p>
    <w:p w:rsidR="00690451" w:rsidRPr="00690451" w:rsidRDefault="00690451" w:rsidP="00690451">
      <w:pPr>
        <w:pStyle w:val="Default"/>
        <w:jc w:val="both"/>
        <w:rPr>
          <w:rFonts w:ascii="Book Antiqua" w:hAnsi="Book Antiqua"/>
          <w:sz w:val="22"/>
          <w:szCs w:val="22"/>
        </w:rPr>
      </w:pPr>
      <w:r>
        <w:rPr>
          <w:rFonts w:ascii="Book Antiqua" w:hAnsi="Book Antiqua"/>
          <w:sz w:val="22"/>
          <w:szCs w:val="22"/>
        </w:rPr>
        <w:t xml:space="preserve">nella sua qualità di </w:t>
      </w:r>
      <w:r w:rsidRPr="00690451">
        <w:rPr>
          <w:rFonts w:ascii="Book Antiqua" w:hAnsi="Book Antiqua"/>
          <w:sz w:val="22"/>
          <w:szCs w:val="22"/>
        </w:rPr>
        <w:t xml:space="preserve">titolare del trattamento pensionistico INPS erogato dal Fondo sostitutivo ex IPOST per il personale del Gruppo Poste Italiane - Categoria e numero pensione………………………………………………………..………............................. </w:t>
      </w:r>
      <w:r>
        <w:rPr>
          <w:rFonts w:ascii="Book Antiqua" w:hAnsi="Book Antiqua"/>
          <w:sz w:val="22"/>
          <w:szCs w:val="22"/>
        </w:rPr>
        <w:t>– decorrenza………………</w:t>
      </w:r>
    </w:p>
    <w:p w:rsidR="00690451" w:rsidRPr="00690451" w:rsidRDefault="00690451" w:rsidP="00690451">
      <w:pPr>
        <w:pStyle w:val="Default"/>
        <w:jc w:val="both"/>
        <w:rPr>
          <w:rFonts w:ascii="Book Antiqua" w:hAnsi="Book Antiqua"/>
          <w:b/>
          <w:i/>
          <w:sz w:val="22"/>
          <w:szCs w:val="22"/>
        </w:rPr>
      </w:pPr>
    </w:p>
    <w:p w:rsidR="004441FA" w:rsidRPr="00690451" w:rsidRDefault="004441FA" w:rsidP="00EA1F1F">
      <w:pPr>
        <w:pStyle w:val="Default"/>
        <w:jc w:val="center"/>
        <w:rPr>
          <w:rFonts w:ascii="Book Antiqua" w:hAnsi="Book Antiqua"/>
          <w:b/>
          <w:bCs/>
          <w:sz w:val="22"/>
          <w:szCs w:val="22"/>
        </w:rPr>
      </w:pPr>
      <w:r w:rsidRPr="00690451">
        <w:rPr>
          <w:rFonts w:ascii="Book Antiqua" w:hAnsi="Book Antiqua"/>
          <w:b/>
          <w:bCs/>
          <w:sz w:val="22"/>
          <w:szCs w:val="22"/>
        </w:rPr>
        <w:t>PREMESSO CHE</w:t>
      </w:r>
    </w:p>
    <w:p w:rsidR="002D1D0D" w:rsidRPr="00690451" w:rsidRDefault="002D1D0D" w:rsidP="00690451">
      <w:pPr>
        <w:pStyle w:val="Default"/>
        <w:jc w:val="both"/>
        <w:rPr>
          <w:rFonts w:ascii="Book Antiqua" w:hAnsi="Book Antiqua"/>
          <w:sz w:val="22"/>
          <w:szCs w:val="22"/>
        </w:rPr>
      </w:pPr>
    </w:p>
    <w:p w:rsidR="004441FA" w:rsidRPr="00690451" w:rsidRDefault="004441FA" w:rsidP="00690451">
      <w:pPr>
        <w:pStyle w:val="Default"/>
        <w:jc w:val="both"/>
        <w:rPr>
          <w:rFonts w:ascii="Book Antiqua" w:hAnsi="Book Antiqua"/>
          <w:sz w:val="22"/>
          <w:szCs w:val="22"/>
        </w:rPr>
      </w:pPr>
      <w:r w:rsidRPr="00690451">
        <w:rPr>
          <w:rFonts w:ascii="Book Antiqua" w:hAnsi="Book Antiqua" w:cs="Calibri"/>
          <w:sz w:val="22"/>
          <w:szCs w:val="22"/>
        </w:rPr>
        <w:t xml:space="preserve">- </w:t>
      </w:r>
      <w:r w:rsidRPr="00690451">
        <w:rPr>
          <w:rFonts w:ascii="Book Antiqua" w:hAnsi="Book Antiqua"/>
          <w:sz w:val="22"/>
          <w:szCs w:val="22"/>
        </w:rPr>
        <w:t xml:space="preserve">per l’anno </w:t>
      </w:r>
      <w:r w:rsidRPr="00690451">
        <w:rPr>
          <w:rFonts w:ascii="Book Antiqua" w:hAnsi="Book Antiqua"/>
          <w:b/>
          <w:bCs/>
          <w:sz w:val="22"/>
          <w:szCs w:val="22"/>
        </w:rPr>
        <w:t xml:space="preserve">2023, l’articolo 1, comma 309, della legge 197/2022 (Bilancio di previsione dello Stato per l'anno finanziario 2023 e bilancio pluriennale per il triennio 2023-2025) </w:t>
      </w:r>
      <w:r w:rsidRPr="00690451">
        <w:rPr>
          <w:rFonts w:ascii="Book Antiqua" w:hAnsi="Book Antiqua"/>
          <w:sz w:val="22"/>
          <w:szCs w:val="22"/>
        </w:rPr>
        <w:t xml:space="preserve">ha </w:t>
      </w:r>
      <w:r w:rsidR="002D1D0D" w:rsidRPr="00690451">
        <w:rPr>
          <w:rFonts w:ascii="Book Antiqua" w:hAnsi="Book Antiqua"/>
          <w:sz w:val="22"/>
          <w:szCs w:val="22"/>
        </w:rPr>
        <w:t xml:space="preserve">introdotto modifiche normative in ordine al </w:t>
      </w:r>
      <w:r w:rsidRPr="00690451">
        <w:rPr>
          <w:rFonts w:ascii="Book Antiqua" w:hAnsi="Book Antiqua"/>
          <w:sz w:val="22"/>
          <w:szCs w:val="22"/>
        </w:rPr>
        <w:t xml:space="preserve">meccanismo di perequazione </w:t>
      </w:r>
      <w:r w:rsidR="002D1D0D" w:rsidRPr="00690451">
        <w:rPr>
          <w:rFonts w:ascii="Book Antiqua" w:hAnsi="Book Antiqua"/>
          <w:sz w:val="22"/>
          <w:szCs w:val="22"/>
        </w:rPr>
        <w:t xml:space="preserve">delle pensioni per il recupero dell’inflazione programmata, </w:t>
      </w:r>
      <w:r w:rsidRPr="00690451">
        <w:rPr>
          <w:rFonts w:ascii="Book Antiqua" w:hAnsi="Book Antiqua"/>
          <w:sz w:val="22"/>
          <w:szCs w:val="22"/>
        </w:rPr>
        <w:t xml:space="preserve">nella seguente misura: per le pensioni di importo </w:t>
      </w:r>
      <w:r w:rsidRPr="00690451">
        <w:rPr>
          <w:rFonts w:ascii="Book Antiqua" w:hAnsi="Book Antiqua"/>
          <w:b/>
          <w:bCs/>
          <w:sz w:val="22"/>
          <w:szCs w:val="22"/>
        </w:rPr>
        <w:t xml:space="preserve">fino a quattro volte </w:t>
      </w:r>
      <w:r w:rsidRPr="00690451">
        <w:rPr>
          <w:rFonts w:ascii="Book Antiqua" w:hAnsi="Book Antiqua"/>
          <w:sz w:val="22"/>
          <w:szCs w:val="22"/>
        </w:rPr>
        <w:t xml:space="preserve">il trattamento minimo l'adeguamento avviene in misura piena (100%); per le pensioni di importo </w:t>
      </w:r>
      <w:r w:rsidRPr="00690451">
        <w:rPr>
          <w:rFonts w:ascii="Book Antiqua" w:hAnsi="Book Antiqua"/>
          <w:b/>
          <w:bCs/>
          <w:sz w:val="22"/>
          <w:szCs w:val="22"/>
        </w:rPr>
        <w:t xml:space="preserve">superiore a quattro volte e sino a cinque volte </w:t>
      </w:r>
      <w:r w:rsidRPr="00690451">
        <w:rPr>
          <w:rFonts w:ascii="Book Antiqua" w:hAnsi="Book Antiqua"/>
          <w:sz w:val="22"/>
          <w:szCs w:val="22"/>
        </w:rPr>
        <w:t>il trattamento minimo viene riconosciuto l’</w:t>
      </w:r>
      <w:r w:rsidRPr="00690451">
        <w:rPr>
          <w:rFonts w:ascii="Book Antiqua" w:hAnsi="Book Antiqua"/>
          <w:b/>
          <w:bCs/>
          <w:sz w:val="22"/>
          <w:szCs w:val="22"/>
        </w:rPr>
        <w:t xml:space="preserve">85% </w:t>
      </w:r>
      <w:r w:rsidRPr="00690451">
        <w:rPr>
          <w:rFonts w:ascii="Book Antiqua" w:hAnsi="Book Antiqua"/>
          <w:sz w:val="22"/>
          <w:szCs w:val="22"/>
        </w:rPr>
        <w:t xml:space="preserve">dell'adeguamento; per quelle di importo </w:t>
      </w:r>
      <w:r w:rsidRPr="00690451">
        <w:rPr>
          <w:rFonts w:ascii="Book Antiqua" w:hAnsi="Book Antiqua"/>
          <w:b/>
          <w:bCs/>
          <w:sz w:val="22"/>
          <w:szCs w:val="22"/>
        </w:rPr>
        <w:t xml:space="preserve">superiore a cinque volte e sino a sei volte </w:t>
      </w:r>
      <w:r w:rsidRPr="00690451">
        <w:rPr>
          <w:rFonts w:ascii="Book Antiqua" w:hAnsi="Book Antiqua"/>
          <w:sz w:val="22"/>
          <w:szCs w:val="22"/>
        </w:rPr>
        <w:t xml:space="preserve">il minimo l'adeguamento è pari al </w:t>
      </w:r>
      <w:r w:rsidRPr="00690451">
        <w:rPr>
          <w:rFonts w:ascii="Book Antiqua" w:hAnsi="Book Antiqua"/>
          <w:b/>
          <w:bCs/>
          <w:sz w:val="22"/>
          <w:szCs w:val="22"/>
        </w:rPr>
        <w:t>53%</w:t>
      </w:r>
      <w:r w:rsidRPr="00690451">
        <w:rPr>
          <w:rFonts w:ascii="Book Antiqua" w:hAnsi="Book Antiqua"/>
          <w:sz w:val="22"/>
          <w:szCs w:val="22"/>
        </w:rPr>
        <w:t xml:space="preserve">; adeguamento che scende al </w:t>
      </w:r>
      <w:r w:rsidRPr="00690451">
        <w:rPr>
          <w:rFonts w:ascii="Book Antiqua" w:hAnsi="Book Antiqua"/>
          <w:b/>
          <w:bCs/>
          <w:sz w:val="22"/>
          <w:szCs w:val="22"/>
        </w:rPr>
        <w:t>47%</w:t>
      </w:r>
      <w:r w:rsidRPr="00690451">
        <w:rPr>
          <w:rFonts w:ascii="Book Antiqua" w:hAnsi="Book Antiqua"/>
          <w:sz w:val="22"/>
          <w:szCs w:val="22"/>
        </w:rPr>
        <w:t xml:space="preserve">per i trattamenti pensionistici </w:t>
      </w:r>
      <w:r w:rsidRPr="00690451">
        <w:rPr>
          <w:rFonts w:ascii="Book Antiqua" w:hAnsi="Book Antiqua"/>
          <w:b/>
          <w:bCs/>
          <w:sz w:val="22"/>
          <w:szCs w:val="22"/>
        </w:rPr>
        <w:t xml:space="preserve">tra sei e otto </w:t>
      </w:r>
      <w:r w:rsidRPr="00690451">
        <w:rPr>
          <w:rFonts w:ascii="Book Antiqua" w:hAnsi="Book Antiqua"/>
          <w:sz w:val="22"/>
          <w:szCs w:val="22"/>
        </w:rPr>
        <w:t xml:space="preserve">volte il minimo; al </w:t>
      </w:r>
      <w:r w:rsidRPr="00690451">
        <w:rPr>
          <w:rFonts w:ascii="Book Antiqua" w:hAnsi="Book Antiqua"/>
          <w:b/>
          <w:bCs/>
          <w:sz w:val="22"/>
          <w:szCs w:val="22"/>
        </w:rPr>
        <w:t xml:space="preserve">37% </w:t>
      </w:r>
      <w:r w:rsidRPr="00690451">
        <w:rPr>
          <w:rFonts w:ascii="Book Antiqua" w:hAnsi="Book Antiqua"/>
          <w:sz w:val="22"/>
          <w:szCs w:val="22"/>
        </w:rPr>
        <w:t xml:space="preserve">per i trattamenti superiori </w:t>
      </w:r>
      <w:r w:rsidRPr="00690451">
        <w:rPr>
          <w:rFonts w:ascii="Book Antiqua" w:hAnsi="Book Antiqua"/>
          <w:b/>
          <w:bCs/>
          <w:sz w:val="22"/>
          <w:szCs w:val="22"/>
        </w:rPr>
        <w:t xml:space="preserve">a otto volte e sino a dieci </w:t>
      </w:r>
      <w:r w:rsidRPr="00690451">
        <w:rPr>
          <w:rFonts w:ascii="Book Antiqua" w:hAnsi="Book Antiqua"/>
          <w:sz w:val="22"/>
          <w:szCs w:val="22"/>
        </w:rPr>
        <w:t xml:space="preserve">volte il trattamento minimo Inps; al </w:t>
      </w:r>
      <w:r w:rsidRPr="00690451">
        <w:rPr>
          <w:rFonts w:ascii="Book Antiqua" w:hAnsi="Book Antiqua"/>
          <w:b/>
          <w:bCs/>
          <w:sz w:val="22"/>
          <w:szCs w:val="22"/>
        </w:rPr>
        <w:t>32</w:t>
      </w:r>
      <w:r w:rsidRPr="00690451">
        <w:rPr>
          <w:rFonts w:ascii="Book Antiqua" w:hAnsi="Book Antiqua"/>
          <w:sz w:val="22"/>
          <w:szCs w:val="22"/>
        </w:rPr>
        <w:t xml:space="preserve">% per i trattamenti pensionistici di importo </w:t>
      </w:r>
      <w:r w:rsidRPr="00690451">
        <w:rPr>
          <w:rFonts w:ascii="Book Antiqua" w:hAnsi="Book Antiqua"/>
          <w:b/>
          <w:bCs/>
          <w:sz w:val="22"/>
          <w:szCs w:val="22"/>
        </w:rPr>
        <w:t xml:space="preserve">superiore </w:t>
      </w:r>
      <w:r w:rsidRPr="00690451">
        <w:rPr>
          <w:rFonts w:ascii="Book Antiqua" w:hAnsi="Book Antiqua"/>
          <w:b/>
          <w:bCs/>
          <w:sz w:val="22"/>
          <w:szCs w:val="22"/>
        </w:rPr>
        <w:lastRenderedPageBreak/>
        <w:t xml:space="preserve">a dieci volte il minimo </w:t>
      </w:r>
      <w:r w:rsidRPr="00690451">
        <w:rPr>
          <w:rFonts w:ascii="Book Antiqua" w:hAnsi="Book Antiqua"/>
          <w:sz w:val="22"/>
          <w:szCs w:val="22"/>
        </w:rPr>
        <w:t>Inps;</w:t>
      </w:r>
      <w:r w:rsidR="002D1D0D" w:rsidRPr="00690451">
        <w:rPr>
          <w:rFonts w:ascii="Book Antiqua" w:hAnsi="Book Antiqua"/>
          <w:sz w:val="22"/>
          <w:szCs w:val="22"/>
        </w:rPr>
        <w:t>il tutto, in modifica del precedente metodo di calcolo, strutturato per “scaglioni” di importo con applicazione di aliquote percentuali che, pur decrescenti in ragione dell’incremento degli importi erogati, assicuravano, comunque, un ragionevole e, appunto, “perequato” incremento dei ratei mensili così da affrontare con più adeguato margine di beneficio economico il deprezzamento degli importi delle pensioni a causa dell’incremento del costo della vita;</w:t>
      </w:r>
    </w:p>
    <w:p w:rsidR="004441FA" w:rsidRPr="00690451" w:rsidRDefault="004441FA" w:rsidP="00690451">
      <w:pPr>
        <w:pStyle w:val="Default"/>
        <w:spacing w:after="132"/>
        <w:jc w:val="both"/>
        <w:rPr>
          <w:rFonts w:ascii="Book Antiqua" w:hAnsi="Book Antiqua"/>
          <w:sz w:val="22"/>
          <w:szCs w:val="22"/>
        </w:rPr>
      </w:pPr>
      <w:r w:rsidRPr="00690451">
        <w:rPr>
          <w:rFonts w:ascii="Book Antiqua" w:hAnsi="Book Antiqua" w:cs="Calibri"/>
          <w:sz w:val="22"/>
          <w:szCs w:val="22"/>
        </w:rPr>
        <w:t xml:space="preserve">- </w:t>
      </w:r>
      <w:r w:rsidR="002D1D0D" w:rsidRPr="00690451">
        <w:rPr>
          <w:rFonts w:ascii="Book Antiqua" w:hAnsi="Book Antiqua"/>
          <w:sz w:val="22"/>
          <w:szCs w:val="22"/>
        </w:rPr>
        <w:t xml:space="preserve">per l’anno </w:t>
      </w:r>
      <w:r w:rsidR="002D1D0D" w:rsidRPr="00690451">
        <w:rPr>
          <w:rFonts w:ascii="Book Antiqua" w:hAnsi="Book Antiqua"/>
          <w:b/>
          <w:bCs/>
          <w:sz w:val="22"/>
          <w:szCs w:val="22"/>
        </w:rPr>
        <w:t xml:space="preserve">2024, </w:t>
      </w:r>
      <w:r w:rsidRPr="00690451">
        <w:rPr>
          <w:rFonts w:ascii="Book Antiqua" w:hAnsi="Book Antiqua"/>
          <w:b/>
          <w:bCs/>
          <w:sz w:val="22"/>
          <w:szCs w:val="22"/>
        </w:rPr>
        <w:t xml:space="preserve">l’art. 1, comma 135, della legge 213/2023 </w:t>
      </w:r>
      <w:r w:rsidRPr="00690451">
        <w:rPr>
          <w:rFonts w:ascii="Book Antiqua" w:hAnsi="Book Antiqua"/>
          <w:sz w:val="22"/>
          <w:szCs w:val="22"/>
        </w:rPr>
        <w:t xml:space="preserve">ha confermato il predetto blocco, </w:t>
      </w:r>
      <w:r w:rsidR="002D1D0D" w:rsidRPr="00690451">
        <w:rPr>
          <w:rFonts w:ascii="Book Antiqua" w:hAnsi="Book Antiqua"/>
          <w:sz w:val="22"/>
          <w:szCs w:val="22"/>
        </w:rPr>
        <w:t>modificando</w:t>
      </w:r>
      <w:r w:rsidRPr="00690451">
        <w:rPr>
          <w:rFonts w:ascii="Book Antiqua" w:hAnsi="Book Antiqua"/>
          <w:sz w:val="22"/>
          <w:szCs w:val="22"/>
        </w:rPr>
        <w:t xml:space="preserve"> ulteriorment</w:t>
      </w:r>
      <w:r w:rsidR="002D1D0D" w:rsidRPr="00690451">
        <w:rPr>
          <w:rFonts w:ascii="Book Antiqua" w:hAnsi="Book Antiqua"/>
          <w:sz w:val="22"/>
          <w:szCs w:val="22"/>
        </w:rPr>
        <w:t>e il meccanismo di perequazione con la riduzione</w:t>
      </w:r>
      <w:r w:rsidRPr="00690451">
        <w:rPr>
          <w:rFonts w:ascii="Book Antiqua" w:hAnsi="Book Antiqua"/>
          <w:sz w:val="22"/>
          <w:szCs w:val="22"/>
        </w:rPr>
        <w:t xml:space="preserve"> dal 32% al </w:t>
      </w:r>
      <w:r w:rsidRPr="00690451">
        <w:rPr>
          <w:rFonts w:ascii="Book Antiqua" w:hAnsi="Book Antiqua"/>
          <w:b/>
          <w:bCs/>
          <w:sz w:val="22"/>
          <w:szCs w:val="22"/>
        </w:rPr>
        <w:t>22</w:t>
      </w:r>
      <w:r w:rsidRPr="00690451">
        <w:rPr>
          <w:rFonts w:ascii="Book Antiqua" w:hAnsi="Book Antiqua"/>
          <w:sz w:val="22"/>
          <w:szCs w:val="22"/>
        </w:rPr>
        <w:t xml:space="preserve">% </w:t>
      </w:r>
      <w:r w:rsidR="002D1D0D" w:rsidRPr="00690451">
        <w:rPr>
          <w:rFonts w:ascii="Book Antiqua" w:hAnsi="Book Antiqua"/>
          <w:sz w:val="22"/>
          <w:szCs w:val="22"/>
        </w:rPr>
        <w:t>del</w:t>
      </w:r>
      <w:r w:rsidRPr="00690451">
        <w:rPr>
          <w:rFonts w:ascii="Book Antiqua" w:hAnsi="Book Antiqua"/>
          <w:sz w:val="22"/>
          <w:szCs w:val="22"/>
        </w:rPr>
        <w:t xml:space="preserve">l’importo della rivalutazione per le pensioni superiori a </w:t>
      </w:r>
      <w:r w:rsidRPr="00690451">
        <w:rPr>
          <w:rFonts w:ascii="Book Antiqua" w:hAnsi="Book Antiqua"/>
          <w:b/>
          <w:bCs/>
          <w:sz w:val="22"/>
          <w:szCs w:val="22"/>
        </w:rPr>
        <w:t xml:space="preserve">dieci volte </w:t>
      </w:r>
      <w:r w:rsidRPr="00690451">
        <w:rPr>
          <w:rFonts w:ascii="Book Antiqua" w:hAnsi="Book Antiqua"/>
          <w:sz w:val="22"/>
          <w:szCs w:val="22"/>
        </w:rPr>
        <w:t>il minimo Inps</w:t>
      </w:r>
      <w:r w:rsidR="002D1D0D" w:rsidRPr="00690451">
        <w:rPr>
          <w:rFonts w:ascii="Book Antiqua" w:hAnsi="Book Antiqua"/>
          <w:sz w:val="22"/>
          <w:szCs w:val="22"/>
        </w:rPr>
        <w:t>, ferme restando le medesime regole del 2023 per quelle di importo inferiore</w:t>
      </w:r>
      <w:r w:rsidRPr="00690451">
        <w:rPr>
          <w:rFonts w:ascii="Book Antiqua" w:hAnsi="Book Antiqua"/>
          <w:sz w:val="22"/>
          <w:szCs w:val="22"/>
        </w:rPr>
        <w:t xml:space="preserve">; </w:t>
      </w:r>
    </w:p>
    <w:p w:rsidR="004441FA" w:rsidRPr="00690451" w:rsidRDefault="004441FA" w:rsidP="00690451">
      <w:pPr>
        <w:pStyle w:val="Default"/>
        <w:spacing w:after="132"/>
        <w:jc w:val="both"/>
        <w:rPr>
          <w:rFonts w:ascii="Book Antiqua" w:hAnsi="Book Antiqua"/>
          <w:sz w:val="22"/>
          <w:szCs w:val="22"/>
        </w:rPr>
      </w:pPr>
      <w:r w:rsidRPr="00690451">
        <w:rPr>
          <w:rFonts w:ascii="Book Antiqua" w:hAnsi="Book Antiqua" w:cs="Calibri"/>
          <w:sz w:val="22"/>
          <w:szCs w:val="22"/>
        </w:rPr>
        <w:t xml:space="preserve">- </w:t>
      </w:r>
      <w:r w:rsidRPr="00690451">
        <w:rPr>
          <w:rFonts w:ascii="Book Antiqua" w:hAnsi="Book Antiqua"/>
          <w:sz w:val="22"/>
          <w:szCs w:val="22"/>
        </w:rPr>
        <w:t>il prelievo cui è sottoposto il trattamento pensionistico è ulteriormente aggravato dalla formula a “fasce d’importo” rispetto alla precedente</w:t>
      </w:r>
      <w:r w:rsidR="002D1D0D" w:rsidRPr="00690451">
        <w:rPr>
          <w:rFonts w:ascii="Book Antiqua" w:hAnsi="Book Antiqua"/>
          <w:sz w:val="22"/>
          <w:szCs w:val="22"/>
        </w:rPr>
        <w:t>, come detto,</w:t>
      </w:r>
      <w:r w:rsidRPr="00690451">
        <w:rPr>
          <w:rFonts w:ascii="Book Antiqua" w:hAnsi="Book Antiqua"/>
          <w:sz w:val="22"/>
          <w:szCs w:val="22"/>
        </w:rPr>
        <w:t xml:space="preserve"> a “scaglione”, cui consegue che la percentuale di adeguamento si applica sull’intero importo e non solo su quello in eccedenza</w:t>
      </w:r>
      <w:r w:rsidR="002D1D0D" w:rsidRPr="00690451">
        <w:rPr>
          <w:rFonts w:ascii="Book Antiqua" w:hAnsi="Book Antiqua"/>
          <w:sz w:val="22"/>
          <w:szCs w:val="22"/>
        </w:rPr>
        <w:t>, in ragione delle fasce di incremento</w:t>
      </w:r>
      <w:r w:rsidRPr="00690451">
        <w:rPr>
          <w:rFonts w:ascii="Book Antiqua" w:hAnsi="Book Antiqua"/>
          <w:sz w:val="22"/>
          <w:szCs w:val="22"/>
        </w:rPr>
        <w:t>. Si determina</w:t>
      </w:r>
      <w:r w:rsidR="00690451">
        <w:rPr>
          <w:rFonts w:ascii="Book Antiqua" w:hAnsi="Book Antiqua"/>
          <w:sz w:val="22"/>
          <w:szCs w:val="22"/>
        </w:rPr>
        <w:t xml:space="preserve"> così</w:t>
      </w:r>
      <w:r w:rsidRPr="00690451">
        <w:rPr>
          <w:rFonts w:ascii="Book Antiqua" w:hAnsi="Book Antiqua"/>
          <w:sz w:val="22"/>
          <w:szCs w:val="22"/>
        </w:rPr>
        <w:t xml:space="preserve"> l’aberrante conseguenza per cui</w:t>
      </w:r>
      <w:r w:rsidR="005B3DCB">
        <w:rPr>
          <w:rFonts w:ascii="Book Antiqua" w:hAnsi="Book Antiqua"/>
          <w:sz w:val="22"/>
          <w:szCs w:val="22"/>
        </w:rPr>
        <w:t>,</w:t>
      </w:r>
      <w:r w:rsidRPr="00690451">
        <w:rPr>
          <w:rFonts w:ascii="Book Antiqua" w:hAnsi="Book Antiqua"/>
          <w:sz w:val="22"/>
          <w:szCs w:val="22"/>
        </w:rPr>
        <w:t xml:space="preserve"> con la maggiorazione di un solo centesimo</w:t>
      </w:r>
      <w:r w:rsidR="005B3DCB">
        <w:rPr>
          <w:rFonts w:ascii="Book Antiqua" w:hAnsi="Book Antiqua"/>
          <w:sz w:val="22"/>
          <w:szCs w:val="22"/>
        </w:rPr>
        <w:t>,</w:t>
      </w:r>
      <w:r w:rsidRPr="00690451">
        <w:rPr>
          <w:rFonts w:ascii="Book Antiqua" w:hAnsi="Book Antiqua"/>
          <w:sz w:val="22"/>
          <w:szCs w:val="22"/>
        </w:rPr>
        <w:t xml:space="preserve"> si passa alla fascia successiva con il conseguente abbattimento sull’intero importo; </w:t>
      </w:r>
    </w:p>
    <w:p w:rsidR="003F3C30" w:rsidRPr="00690451" w:rsidRDefault="004441FA" w:rsidP="00EA1F1F">
      <w:pPr>
        <w:pStyle w:val="Default"/>
        <w:spacing w:after="132"/>
        <w:jc w:val="both"/>
        <w:rPr>
          <w:rFonts w:ascii="Book Antiqua" w:hAnsi="Book Antiqua"/>
          <w:sz w:val="22"/>
          <w:szCs w:val="22"/>
        </w:rPr>
      </w:pPr>
      <w:r w:rsidRPr="00690451">
        <w:rPr>
          <w:rFonts w:ascii="Book Antiqua" w:hAnsi="Book Antiqua"/>
          <w:sz w:val="22"/>
          <w:szCs w:val="22"/>
        </w:rPr>
        <w:t>-</w:t>
      </w:r>
      <w:r w:rsidR="002D1D0D" w:rsidRPr="00690451">
        <w:rPr>
          <w:rFonts w:ascii="Book Antiqua" w:hAnsi="Book Antiqua"/>
          <w:sz w:val="22"/>
          <w:szCs w:val="22"/>
        </w:rPr>
        <w:t xml:space="preserve"> appare del tutto ragionevole ritenere, sul piano giuridico sostanziale, che</w:t>
      </w:r>
      <w:r w:rsidRPr="00690451">
        <w:rPr>
          <w:rFonts w:ascii="Book Antiqua" w:hAnsi="Book Antiqua"/>
          <w:sz w:val="22"/>
          <w:szCs w:val="22"/>
        </w:rPr>
        <w:t xml:space="preserve"> le predette norme hanno quindi </w:t>
      </w:r>
      <w:r w:rsidR="002D1D0D" w:rsidRPr="00690451">
        <w:rPr>
          <w:rFonts w:ascii="Book Antiqua" w:hAnsi="Book Antiqua"/>
          <w:sz w:val="22"/>
          <w:szCs w:val="22"/>
        </w:rPr>
        <w:t>inciso profondamente nel</w:t>
      </w:r>
      <w:r w:rsidRPr="00690451">
        <w:rPr>
          <w:rFonts w:ascii="Book Antiqua" w:hAnsi="Book Antiqua"/>
          <w:sz w:val="22"/>
          <w:szCs w:val="22"/>
        </w:rPr>
        <w:t xml:space="preserve"> meccanismo di perequazione reintroducendo</w:t>
      </w:r>
      <w:r w:rsidR="003F3C30" w:rsidRPr="00690451">
        <w:rPr>
          <w:rFonts w:ascii="Book Antiqua" w:hAnsi="Book Antiqua"/>
          <w:sz w:val="22"/>
          <w:szCs w:val="22"/>
        </w:rPr>
        <w:t xml:space="preserve">, </w:t>
      </w:r>
      <w:r w:rsidR="003F3C30" w:rsidRPr="005B3DCB">
        <w:rPr>
          <w:rFonts w:ascii="Book Antiqua" w:hAnsi="Book Antiqua"/>
          <w:i/>
          <w:sz w:val="22"/>
          <w:szCs w:val="22"/>
        </w:rPr>
        <w:t>de facto</w:t>
      </w:r>
      <w:r w:rsidR="003F3C30" w:rsidRPr="00690451">
        <w:rPr>
          <w:rFonts w:ascii="Book Antiqua" w:hAnsi="Book Antiqua"/>
          <w:sz w:val="22"/>
          <w:szCs w:val="22"/>
        </w:rPr>
        <w:t>,</w:t>
      </w:r>
      <w:r w:rsidRPr="00690451">
        <w:rPr>
          <w:rFonts w:ascii="Book Antiqua" w:hAnsi="Book Antiqua"/>
          <w:sz w:val="22"/>
          <w:szCs w:val="22"/>
        </w:rPr>
        <w:t xml:space="preserve"> un “blocco perequativo”</w:t>
      </w:r>
      <w:r w:rsidR="002D1D0D" w:rsidRPr="00690451">
        <w:rPr>
          <w:rFonts w:ascii="Book Antiqua" w:hAnsi="Book Antiqua"/>
          <w:sz w:val="22"/>
          <w:szCs w:val="22"/>
        </w:rPr>
        <w:t>, in coerenza con quanto praticato da più Governi in anni precedenti (anche eliminando del tutto l’</w:t>
      </w:r>
      <w:r w:rsidR="003F3C30" w:rsidRPr="00690451">
        <w:rPr>
          <w:rFonts w:ascii="Book Antiqua" w:hAnsi="Book Antiqua"/>
          <w:sz w:val="22"/>
          <w:szCs w:val="22"/>
        </w:rPr>
        <w:t xml:space="preserve">istituto della perequazione - </w:t>
      </w:r>
      <w:r w:rsidR="002D1D0D" w:rsidRPr="00690451">
        <w:rPr>
          <w:rFonts w:ascii="Book Antiqua" w:hAnsi="Book Antiqua"/>
          <w:sz w:val="22"/>
          <w:szCs w:val="22"/>
        </w:rPr>
        <w:t>vds. le ben note disposizioni di cui al</w:t>
      </w:r>
      <w:r w:rsidR="003F3C30" w:rsidRPr="00690451">
        <w:rPr>
          <w:rFonts w:ascii="Book Antiqua" w:hAnsi="Book Antiqua"/>
          <w:sz w:val="22"/>
          <w:szCs w:val="22"/>
        </w:rPr>
        <w:t>l’ art. 24 </w:t>
      </w:r>
      <w:r w:rsidR="003F3C30" w:rsidRPr="00690451">
        <w:rPr>
          <w:sz w:val="22"/>
          <w:szCs w:val="22"/>
        </w:rPr>
        <w:t>del</w:t>
      </w:r>
      <w:r w:rsidR="005B3DCB">
        <w:rPr>
          <w:rFonts w:ascii="Book Antiqua" w:hAnsi="Book Antiqua"/>
          <w:sz w:val="22"/>
          <w:szCs w:val="22"/>
        </w:rPr>
        <w:t> D.L n</w:t>
      </w:r>
      <w:r w:rsidR="003F3C30" w:rsidRPr="00690451">
        <w:rPr>
          <w:rFonts w:ascii="Book Antiqua" w:hAnsi="Book Antiqua"/>
          <w:sz w:val="22"/>
          <w:szCs w:val="22"/>
        </w:rPr>
        <w:t>. 201/</w:t>
      </w:r>
      <w:r w:rsidR="003F3C30" w:rsidRPr="00690451">
        <w:rPr>
          <w:sz w:val="22"/>
          <w:szCs w:val="22"/>
        </w:rPr>
        <w:t>2011</w:t>
      </w:r>
      <w:r w:rsidR="003F3C30" w:rsidRPr="00690451">
        <w:rPr>
          <w:rFonts w:ascii="Book Antiqua" w:hAnsi="Book Antiqua"/>
          <w:sz w:val="22"/>
          <w:szCs w:val="22"/>
        </w:rPr>
        <w:t>, convertito con modificazioni, dalla </w:t>
      </w:r>
      <w:r w:rsidR="003F3C30" w:rsidRPr="00690451">
        <w:rPr>
          <w:sz w:val="22"/>
          <w:szCs w:val="22"/>
        </w:rPr>
        <w:t xml:space="preserve">Legge </w:t>
      </w:r>
      <w:r w:rsidR="005B3DCB">
        <w:rPr>
          <w:sz w:val="22"/>
          <w:szCs w:val="22"/>
        </w:rPr>
        <w:t xml:space="preserve">n. </w:t>
      </w:r>
      <w:r w:rsidR="003F3C30" w:rsidRPr="00690451">
        <w:rPr>
          <w:sz w:val="22"/>
          <w:szCs w:val="22"/>
        </w:rPr>
        <w:t>214</w:t>
      </w:r>
      <w:r w:rsidR="003F3C30" w:rsidRPr="00690451">
        <w:rPr>
          <w:rFonts w:ascii="Book Antiqua" w:hAnsi="Book Antiqua"/>
          <w:sz w:val="22"/>
          <w:szCs w:val="22"/>
        </w:rPr>
        <w:t>/</w:t>
      </w:r>
      <w:r w:rsidR="003F3C30" w:rsidRPr="00690451">
        <w:rPr>
          <w:sz w:val="22"/>
          <w:szCs w:val="22"/>
        </w:rPr>
        <w:t>2011</w:t>
      </w:r>
      <w:r w:rsidR="003F3C30" w:rsidRPr="00690451">
        <w:rPr>
          <w:rFonts w:ascii="Book Antiqua" w:hAnsi="Book Antiqua"/>
          <w:sz w:val="22"/>
          <w:szCs w:val="22"/>
        </w:rPr>
        <w:t> - c.d. </w:t>
      </w:r>
      <w:r w:rsidR="003F3C30" w:rsidRPr="00690451">
        <w:rPr>
          <w:sz w:val="22"/>
          <w:szCs w:val="22"/>
        </w:rPr>
        <w:t>Legge Fornero – che introdusse, appunto un blocco generalizzato della stessa perequazione, oltre che altre norme che hanno previsto finanche contributi di “solidarietà” consistenti in veri e propri tagli degli stessi trattamenti di importo medio/alto</w:t>
      </w:r>
      <w:r w:rsidR="003F3C30" w:rsidRPr="00690451">
        <w:rPr>
          <w:rFonts w:ascii="Book Antiqua" w:hAnsi="Book Antiqua"/>
          <w:sz w:val="22"/>
          <w:szCs w:val="22"/>
        </w:rPr>
        <w:t>);</w:t>
      </w:r>
    </w:p>
    <w:p w:rsidR="009F0398" w:rsidRPr="00690451" w:rsidRDefault="003F3C30" w:rsidP="00EA1F1F">
      <w:pPr>
        <w:shd w:val="clear" w:color="auto" w:fill="FFFFFF"/>
        <w:spacing w:line="240" w:lineRule="auto"/>
        <w:jc w:val="both"/>
        <w:rPr>
          <w:rFonts w:ascii="Book Antiqua" w:hAnsi="Book Antiqua" w:cs="Times New Roman"/>
          <w:color w:val="000000"/>
        </w:rPr>
      </w:pPr>
      <w:r w:rsidRPr="00690451">
        <w:rPr>
          <w:rFonts w:ascii="Book Antiqua" w:hAnsi="Book Antiqua" w:cs="Times New Roman"/>
          <w:color w:val="000000"/>
        </w:rPr>
        <w:t>-siffatte modalità devono ritenersi</w:t>
      </w:r>
      <w:r w:rsidR="004441FA" w:rsidRPr="00690451">
        <w:rPr>
          <w:rFonts w:ascii="Book Antiqua" w:hAnsi="Book Antiqua" w:cs="Times New Roman"/>
          <w:color w:val="000000"/>
        </w:rPr>
        <w:t xml:space="preserve"> in evidente contrasto con i principi costituzionali</w:t>
      </w:r>
      <w:r w:rsidRPr="00690451">
        <w:rPr>
          <w:rFonts w:ascii="Book Antiqua" w:hAnsi="Book Antiqua" w:cs="Times New Roman"/>
          <w:color w:val="000000"/>
        </w:rPr>
        <w:t xml:space="preserve"> di cui </w:t>
      </w:r>
      <w:r w:rsidR="009F0398" w:rsidRPr="00690451">
        <w:rPr>
          <w:rFonts w:ascii="Book Antiqua" w:hAnsi="Book Antiqua" w:cs="Times New Roman"/>
          <w:color w:val="000000"/>
        </w:rPr>
        <w:t xml:space="preserve">all’art. 38, secondo comma, Cost., in forza del quale deve essere sempre garantita l’ “adeguatezza” dei trattamenti di pensione cosicché, in base all’interpretazione sistematica di tali norme con i contesti di riferimento, la perequazione automatica </w:t>
      </w:r>
      <w:r w:rsidR="009F0398" w:rsidRPr="009F0398">
        <w:rPr>
          <w:rFonts w:ascii="Book Antiqua" w:hAnsi="Book Antiqua" w:cs="Times New Roman"/>
          <w:color w:val="000000"/>
        </w:rPr>
        <w:t xml:space="preserve">deve essere considerata uno strumento di natura tecnica volto a garantire </w:t>
      </w:r>
      <w:r w:rsidR="009F0398" w:rsidRPr="009F0398">
        <w:rPr>
          <w:rFonts w:ascii="Book Antiqua" w:hAnsi="Book Antiqua" w:cs="Times New Roman"/>
          <w:color w:val="000000"/>
          <w:u w:val="single"/>
        </w:rPr>
        <w:t>nel tempo</w:t>
      </w:r>
      <w:r w:rsidR="009F0398" w:rsidRPr="009F0398">
        <w:rPr>
          <w:rFonts w:ascii="Book Antiqua" w:hAnsi="Book Antiqua" w:cs="Times New Roman"/>
          <w:color w:val="000000"/>
        </w:rPr>
        <w:t xml:space="preserve"> l’adeguatezza dei trattamenti pensionistici, dei quali salvaguarda il valore reale al cospetto della pressione inflazionistica (sentenze n. 234/2020, n. 250/2017 e n. </w:t>
      </w:r>
      <w:r w:rsidR="009F0398" w:rsidRPr="00690451">
        <w:rPr>
          <w:rFonts w:ascii="Book Antiqua" w:hAnsi="Book Antiqua" w:cs="Times New Roman"/>
          <w:color w:val="000000"/>
        </w:rPr>
        <w:t>70/2015);</w:t>
      </w:r>
    </w:p>
    <w:p w:rsidR="00690451" w:rsidRDefault="009F0398" w:rsidP="00690451">
      <w:pPr>
        <w:shd w:val="clear" w:color="auto" w:fill="FFFFFF"/>
        <w:spacing w:after="0" w:line="240" w:lineRule="auto"/>
        <w:jc w:val="both"/>
        <w:rPr>
          <w:rFonts w:ascii="Book Antiqua" w:hAnsi="Book Antiqua"/>
          <w:i/>
          <w:iCs/>
        </w:rPr>
      </w:pPr>
      <w:r w:rsidRPr="00690451">
        <w:rPr>
          <w:rFonts w:ascii="Book Antiqua" w:hAnsi="Book Antiqua" w:cs="Times New Roman"/>
          <w:color w:val="000000"/>
        </w:rPr>
        <w:t>-la giurisprudenza della Corte Costituzionale ribadisce anche che sussiste un limite di ordine temporale, poiché &lt;&lt;…</w:t>
      </w:r>
      <w:r w:rsidRPr="005B3DCB">
        <w:rPr>
          <w:rFonts w:ascii="Book Antiqua" w:hAnsi="Book Antiqua" w:cs="Times New Roman"/>
          <w:i/>
          <w:color w:val="000000"/>
        </w:rPr>
        <w:t xml:space="preserve">la sospensione a tempo indeterminato del meccanismo </w:t>
      </w:r>
      <w:r w:rsidRPr="009F0398">
        <w:rPr>
          <w:rFonts w:ascii="Book Antiqua" w:hAnsi="Book Antiqua" w:cs="Times New Roman"/>
          <w:i/>
          <w:color w:val="000000"/>
        </w:rPr>
        <w:t xml:space="preserve">perequativo, ovvero la frequente reiterazione di misure intese a paralizzarlo, </w:t>
      </w:r>
      <w:r w:rsidRPr="005B3DCB">
        <w:rPr>
          <w:rFonts w:ascii="Book Antiqua" w:hAnsi="Book Antiqua" w:cs="Times New Roman"/>
          <w:i/>
          <w:color w:val="000000"/>
        </w:rPr>
        <w:t xml:space="preserve">esporrebbero </w:t>
      </w:r>
      <w:r w:rsidRPr="009F0398">
        <w:rPr>
          <w:rFonts w:ascii="Book Antiqua" w:hAnsi="Book Antiqua" w:cs="Times New Roman"/>
          <w:i/>
          <w:color w:val="000000"/>
        </w:rPr>
        <w:t>il sistema ad evidenti tensioni con gli invalicabili principi di ragionevolezza e proporzionalità</w:t>
      </w:r>
      <w:r w:rsidRPr="00690451">
        <w:rPr>
          <w:rFonts w:ascii="Book Antiqua" w:hAnsi="Book Antiqua" w:cs="Times New Roman"/>
          <w:color w:val="000000"/>
        </w:rPr>
        <w:t>…&gt;&gt;</w:t>
      </w:r>
      <w:r w:rsidRPr="009F0398">
        <w:rPr>
          <w:rFonts w:ascii="Book Antiqua" w:hAnsi="Book Antiqua" w:cs="Times New Roman"/>
          <w:color w:val="000000"/>
        </w:rPr>
        <w:t xml:space="preserve"> (sen</w:t>
      </w:r>
      <w:r w:rsidRPr="00690451">
        <w:rPr>
          <w:rFonts w:ascii="Book Antiqua" w:hAnsi="Book Antiqua" w:cs="Times New Roman"/>
          <w:color w:val="000000"/>
        </w:rPr>
        <w:t xml:space="preserve">tenza n. 234/2020 e n. 36/2010) e </w:t>
      </w:r>
      <w:r w:rsidR="00690451" w:rsidRPr="00690451">
        <w:rPr>
          <w:rFonts w:ascii="Book Antiqua" w:hAnsi="Book Antiqua" w:cs="Times New Roman"/>
          <w:color w:val="000000"/>
        </w:rPr>
        <w:t>&lt;&lt;…..</w:t>
      </w:r>
      <w:r w:rsidRPr="00690451">
        <w:rPr>
          <w:rFonts w:ascii="Book Antiqua" w:hAnsi="Book Antiqua" w:cs="Times New Roman"/>
          <w:i/>
          <w:color w:val="000000"/>
        </w:rPr>
        <w:t>ciò anche in considerazione dell’effetto di “trascinamento”, che rende sostanzialmente definitiva anche una perdi</w:t>
      </w:r>
      <w:r w:rsidRPr="00690451">
        <w:rPr>
          <w:rFonts w:ascii="Book Antiqua" w:hAnsi="Book Antiqua"/>
          <w:i/>
          <w:iCs/>
        </w:rPr>
        <w:t>ta temporanea del potere di acquisto del trattamento di pensione, atteso che «[l]e successive rivalutazioni saranno, infatti, calcolate non sul valore reale originario, bensì sull’ultimo importo nominale, che dal mancato adeguamento è già stato intaccato</w:t>
      </w:r>
      <w:r w:rsidR="00690451" w:rsidRPr="00690451">
        <w:rPr>
          <w:rFonts w:ascii="Book Antiqua" w:hAnsi="Book Antiqua"/>
          <w:i/>
          <w:iCs/>
        </w:rPr>
        <w:t>…&gt;&gt;</w:t>
      </w:r>
      <w:r w:rsidRPr="00690451">
        <w:rPr>
          <w:rFonts w:ascii="Book Antiqua" w:hAnsi="Book Antiqua"/>
          <w:i/>
          <w:iCs/>
        </w:rPr>
        <w:t>;</w:t>
      </w:r>
    </w:p>
    <w:p w:rsidR="005B3DCB" w:rsidRDefault="005B3DCB" w:rsidP="00690451">
      <w:pPr>
        <w:shd w:val="clear" w:color="auto" w:fill="FFFFFF"/>
        <w:spacing w:after="0" w:line="240" w:lineRule="auto"/>
        <w:jc w:val="both"/>
        <w:rPr>
          <w:rFonts w:ascii="Book Antiqua" w:eastAsia="Times New Roman" w:hAnsi="Book Antiqua" w:cs="Arial"/>
          <w:lang w:eastAsia="it-IT"/>
        </w:rPr>
      </w:pPr>
    </w:p>
    <w:p w:rsidR="004441FA" w:rsidRDefault="00690451" w:rsidP="00690451">
      <w:pPr>
        <w:shd w:val="clear" w:color="auto" w:fill="FFFFFF"/>
        <w:spacing w:after="0" w:line="240" w:lineRule="auto"/>
        <w:jc w:val="both"/>
        <w:rPr>
          <w:rFonts w:ascii="Book Antiqua" w:hAnsi="Book Antiqua"/>
        </w:rPr>
      </w:pPr>
      <w:r>
        <w:rPr>
          <w:rFonts w:ascii="Book Antiqua" w:eastAsia="Times New Roman" w:hAnsi="Book Antiqua" w:cs="Arial"/>
          <w:lang w:eastAsia="it-IT"/>
        </w:rPr>
        <w:t>- come si ribadisce,</w:t>
      </w:r>
      <w:r w:rsidR="009F0398" w:rsidRPr="009F0398">
        <w:rPr>
          <w:rFonts w:ascii="Book Antiqua" w:eastAsia="Times New Roman" w:hAnsi="Book Antiqua" w:cs="Arial"/>
          <w:lang w:eastAsia="it-IT"/>
        </w:rPr>
        <w:t xml:space="preserve">è da ritenersi assodato che le più recenti norme hanno nuovamente modificato il meccanismo di perequazione reintroducendo un “blocco perequativo” </w:t>
      </w:r>
      <w:r w:rsidRPr="00690451">
        <w:rPr>
          <w:rFonts w:ascii="Book Antiqua" w:eastAsia="Times New Roman" w:hAnsi="Book Antiqua" w:cs="Arial"/>
          <w:lang w:eastAsia="it-IT"/>
        </w:rPr>
        <w:t xml:space="preserve">che è </w:t>
      </w:r>
      <w:r w:rsidR="009F0398" w:rsidRPr="009F0398">
        <w:rPr>
          <w:rFonts w:ascii="Book Antiqua" w:eastAsia="Times New Roman" w:hAnsi="Book Antiqua" w:cs="Arial"/>
          <w:lang w:eastAsia="it-IT"/>
        </w:rPr>
        <w:t>in evidente contrasto con i principi costituzionali</w:t>
      </w:r>
      <w:r w:rsidRPr="00690451">
        <w:rPr>
          <w:rFonts w:ascii="Book Antiqua" w:eastAsia="Times New Roman" w:hAnsi="Book Antiqua" w:cs="Arial"/>
          <w:i/>
          <w:lang w:eastAsia="it-IT"/>
        </w:rPr>
        <w:t>ut supra</w:t>
      </w:r>
      <w:r w:rsidRPr="00690451">
        <w:rPr>
          <w:rFonts w:ascii="Book Antiqua" w:eastAsia="Times New Roman" w:hAnsi="Book Antiqua" w:cs="Arial"/>
          <w:lang w:eastAsia="it-IT"/>
        </w:rPr>
        <w:t>richiamati</w:t>
      </w:r>
      <w:r w:rsidR="004441FA" w:rsidRPr="00690451">
        <w:rPr>
          <w:rFonts w:ascii="Book Antiqua" w:hAnsi="Book Antiqua"/>
        </w:rPr>
        <w:t xml:space="preserve">; </w:t>
      </w:r>
    </w:p>
    <w:p w:rsidR="005B3DCB" w:rsidRPr="00690451" w:rsidRDefault="005B3DCB" w:rsidP="00690451">
      <w:pPr>
        <w:shd w:val="clear" w:color="auto" w:fill="FFFFFF"/>
        <w:spacing w:after="0" w:line="240" w:lineRule="auto"/>
        <w:jc w:val="both"/>
        <w:rPr>
          <w:rFonts w:ascii="Book Antiqua" w:eastAsia="Times New Roman" w:hAnsi="Book Antiqua" w:cs="Arial"/>
          <w:lang w:eastAsia="it-IT"/>
        </w:rPr>
      </w:pPr>
    </w:p>
    <w:p w:rsidR="005B3DCB" w:rsidRDefault="004441FA" w:rsidP="00690451">
      <w:pPr>
        <w:pStyle w:val="Default"/>
        <w:spacing w:after="132"/>
        <w:jc w:val="both"/>
        <w:rPr>
          <w:rFonts w:ascii="Book Antiqua" w:hAnsi="Book Antiqua"/>
          <w:sz w:val="22"/>
          <w:szCs w:val="22"/>
        </w:rPr>
      </w:pPr>
      <w:r w:rsidRPr="00690451">
        <w:rPr>
          <w:rFonts w:ascii="Book Antiqua" w:hAnsi="Book Antiqua" w:cs="Calibri"/>
          <w:sz w:val="22"/>
          <w:szCs w:val="22"/>
        </w:rPr>
        <w:t xml:space="preserve">- </w:t>
      </w:r>
      <w:r w:rsidRPr="00690451">
        <w:rPr>
          <w:rFonts w:ascii="Book Antiqua" w:hAnsi="Book Antiqua"/>
          <w:sz w:val="22"/>
          <w:szCs w:val="22"/>
        </w:rPr>
        <w:t xml:space="preserve">le norme in questione comportano, unitamente ai precedenti interventi, uno strutturale sistema di lesione dei diritti dei pensionati, determinandone la riduzione del potere di acquisto da oltre dieci anni consecutivi; </w:t>
      </w:r>
      <w:r w:rsidR="005B3DCB">
        <w:rPr>
          <w:rFonts w:ascii="Book Antiqua" w:hAnsi="Book Antiqua"/>
          <w:sz w:val="22"/>
          <w:szCs w:val="22"/>
        </w:rPr>
        <w:t>-</w:t>
      </w:r>
    </w:p>
    <w:p w:rsidR="00690451" w:rsidRDefault="005B3DCB" w:rsidP="00690451">
      <w:pPr>
        <w:pStyle w:val="Default"/>
        <w:spacing w:after="132"/>
        <w:jc w:val="both"/>
        <w:rPr>
          <w:rFonts w:ascii="Book Antiqua" w:hAnsi="Book Antiqua"/>
          <w:sz w:val="22"/>
          <w:szCs w:val="22"/>
        </w:rPr>
      </w:pPr>
      <w:r>
        <w:rPr>
          <w:rFonts w:ascii="Book Antiqua" w:hAnsi="Book Antiqua"/>
          <w:sz w:val="22"/>
          <w:szCs w:val="22"/>
        </w:rPr>
        <w:lastRenderedPageBreak/>
        <w:t xml:space="preserve">- </w:t>
      </w:r>
      <w:r w:rsidR="004441FA" w:rsidRPr="00690451">
        <w:rPr>
          <w:rFonts w:ascii="Book Antiqua" w:hAnsi="Book Antiqua"/>
          <w:sz w:val="22"/>
          <w:szCs w:val="22"/>
        </w:rPr>
        <w:t xml:space="preserve">è </w:t>
      </w:r>
      <w:r>
        <w:rPr>
          <w:rFonts w:ascii="Book Antiqua" w:hAnsi="Book Antiqua"/>
          <w:sz w:val="22"/>
          <w:szCs w:val="22"/>
        </w:rPr>
        <w:t xml:space="preserve">dunque </w:t>
      </w:r>
      <w:r w:rsidR="004441FA" w:rsidRPr="00690451">
        <w:rPr>
          <w:rFonts w:ascii="Book Antiqua" w:hAnsi="Book Antiqua"/>
          <w:sz w:val="22"/>
          <w:szCs w:val="22"/>
        </w:rPr>
        <w:t xml:space="preserve">interesse dello scrivente richiedere ed ottenere l’intera rivalutazione del trattamento pensionistico, </w:t>
      </w:r>
      <w:r w:rsidR="00690451">
        <w:rPr>
          <w:rFonts w:ascii="Book Antiqua" w:hAnsi="Book Antiqua"/>
          <w:sz w:val="22"/>
          <w:szCs w:val="22"/>
        </w:rPr>
        <w:t xml:space="preserve">secondo il più favorevole metodo di calcolo “per scaglioni” precedentemente stabilito dalla Legge, </w:t>
      </w:r>
      <w:r w:rsidR="004441FA" w:rsidRPr="00690451">
        <w:rPr>
          <w:rFonts w:ascii="Book Antiqua" w:hAnsi="Book Antiqua"/>
          <w:sz w:val="22"/>
          <w:szCs w:val="22"/>
        </w:rPr>
        <w:t xml:space="preserve">oltre interessi maturati e maturandi </w:t>
      </w:r>
      <w:r w:rsidR="00690451">
        <w:rPr>
          <w:rFonts w:ascii="Book Antiqua" w:hAnsi="Book Antiqua"/>
          <w:sz w:val="22"/>
          <w:szCs w:val="22"/>
        </w:rPr>
        <w:t>–</w:t>
      </w:r>
    </w:p>
    <w:p w:rsidR="004441FA" w:rsidRPr="00690451" w:rsidRDefault="004441FA" w:rsidP="00690451">
      <w:pPr>
        <w:pStyle w:val="Default"/>
        <w:spacing w:after="132"/>
        <w:jc w:val="both"/>
        <w:rPr>
          <w:rFonts w:ascii="Book Antiqua" w:hAnsi="Book Antiqua"/>
          <w:sz w:val="22"/>
          <w:szCs w:val="22"/>
        </w:rPr>
      </w:pPr>
      <w:r w:rsidRPr="00690451">
        <w:rPr>
          <w:rFonts w:ascii="Book Antiqua" w:hAnsi="Book Antiqua"/>
          <w:sz w:val="22"/>
          <w:szCs w:val="22"/>
        </w:rPr>
        <w:t>Tutto ciò premesso</w:t>
      </w:r>
      <w:r w:rsidR="00690451">
        <w:rPr>
          <w:rFonts w:ascii="Book Antiqua" w:hAnsi="Book Antiqua"/>
          <w:sz w:val="22"/>
          <w:szCs w:val="22"/>
        </w:rPr>
        <w:t>, considerato</w:t>
      </w:r>
      <w:r w:rsidR="005B3DCB">
        <w:rPr>
          <w:rFonts w:ascii="Book Antiqua" w:hAnsi="Book Antiqua"/>
          <w:sz w:val="22"/>
          <w:szCs w:val="22"/>
        </w:rPr>
        <w:t>, dedotto</w:t>
      </w:r>
      <w:r w:rsidR="00690451">
        <w:rPr>
          <w:rFonts w:ascii="Book Antiqua" w:hAnsi="Book Antiqua"/>
          <w:sz w:val="22"/>
          <w:szCs w:val="22"/>
        </w:rPr>
        <w:t xml:space="preserve"> e illustrato,</w:t>
      </w:r>
      <w:r w:rsidRPr="00690451">
        <w:rPr>
          <w:rFonts w:ascii="Book Antiqua" w:hAnsi="Book Antiqua"/>
          <w:sz w:val="22"/>
          <w:szCs w:val="22"/>
        </w:rPr>
        <w:t xml:space="preserve"> lo scrivente </w:t>
      </w:r>
    </w:p>
    <w:p w:rsidR="004441FA" w:rsidRPr="00690451" w:rsidRDefault="004441FA" w:rsidP="00690451">
      <w:pPr>
        <w:pStyle w:val="Default"/>
        <w:jc w:val="both"/>
        <w:rPr>
          <w:rFonts w:ascii="Book Antiqua" w:hAnsi="Book Antiqua"/>
          <w:sz w:val="22"/>
          <w:szCs w:val="22"/>
        </w:rPr>
      </w:pPr>
    </w:p>
    <w:p w:rsidR="00690451" w:rsidRDefault="00690451" w:rsidP="00690451">
      <w:pPr>
        <w:pStyle w:val="Default"/>
        <w:jc w:val="both"/>
        <w:rPr>
          <w:rFonts w:ascii="Book Antiqua" w:hAnsi="Book Antiqua"/>
          <w:b/>
          <w:bCs/>
          <w:sz w:val="22"/>
          <w:szCs w:val="22"/>
        </w:rPr>
      </w:pPr>
    </w:p>
    <w:p w:rsidR="004441FA" w:rsidRDefault="00690451" w:rsidP="00690451">
      <w:pPr>
        <w:pStyle w:val="Default"/>
        <w:jc w:val="center"/>
        <w:rPr>
          <w:rFonts w:ascii="Book Antiqua" w:hAnsi="Book Antiqua"/>
          <w:b/>
          <w:bCs/>
          <w:sz w:val="22"/>
          <w:szCs w:val="22"/>
        </w:rPr>
      </w:pPr>
      <w:r>
        <w:rPr>
          <w:rFonts w:ascii="Book Antiqua" w:hAnsi="Book Antiqua"/>
          <w:b/>
          <w:bCs/>
          <w:sz w:val="22"/>
          <w:szCs w:val="22"/>
        </w:rPr>
        <w:t xml:space="preserve">CHIEDE, </w:t>
      </w:r>
      <w:r w:rsidR="004441FA" w:rsidRPr="00690451">
        <w:rPr>
          <w:rFonts w:ascii="Book Antiqua" w:hAnsi="Book Antiqua"/>
          <w:b/>
          <w:bCs/>
          <w:sz w:val="22"/>
          <w:szCs w:val="22"/>
        </w:rPr>
        <w:t>INTIMA E DIFFIDA</w:t>
      </w:r>
    </w:p>
    <w:p w:rsidR="00EA1F1F" w:rsidRPr="00690451" w:rsidRDefault="00EA1F1F" w:rsidP="00690451">
      <w:pPr>
        <w:pStyle w:val="Default"/>
        <w:jc w:val="center"/>
        <w:rPr>
          <w:rFonts w:ascii="Book Antiqua" w:hAnsi="Book Antiqua"/>
          <w:sz w:val="22"/>
          <w:szCs w:val="22"/>
        </w:rPr>
      </w:pPr>
    </w:p>
    <w:p w:rsidR="00EA1F1F" w:rsidRPr="005B3DCB" w:rsidRDefault="00690451" w:rsidP="005B3DCB">
      <w:pPr>
        <w:pStyle w:val="Default"/>
        <w:jc w:val="both"/>
        <w:rPr>
          <w:rFonts w:ascii="Book Antiqua" w:hAnsi="Book Antiqua"/>
        </w:rPr>
      </w:pPr>
      <w:r w:rsidRPr="005B3DCB">
        <w:rPr>
          <w:rFonts w:ascii="Book Antiqua" w:hAnsi="Book Antiqua"/>
          <w:sz w:val="22"/>
          <w:szCs w:val="22"/>
        </w:rPr>
        <w:t>l’</w:t>
      </w:r>
      <w:r w:rsidR="004441FA" w:rsidRPr="005B3DCB">
        <w:rPr>
          <w:rFonts w:ascii="Book Antiqua" w:hAnsi="Book Antiqua"/>
          <w:b/>
          <w:sz w:val="22"/>
          <w:szCs w:val="22"/>
        </w:rPr>
        <w:t>INPS - ISTITUTO NAZIONALE DELLA PREVIDENZA SOCIALE</w:t>
      </w:r>
      <w:r w:rsidR="004441FA" w:rsidRPr="005B3DCB">
        <w:rPr>
          <w:rFonts w:ascii="Book Antiqua" w:hAnsi="Book Antiqua"/>
          <w:sz w:val="22"/>
          <w:szCs w:val="22"/>
        </w:rPr>
        <w:t xml:space="preserve"> IN PERSONA DEL LEGALE RAPP.TE P.T presso</w:t>
      </w:r>
      <w:r w:rsidRPr="005B3DCB">
        <w:rPr>
          <w:rFonts w:ascii="Book Antiqua" w:hAnsi="Book Antiqua"/>
          <w:sz w:val="22"/>
          <w:szCs w:val="22"/>
        </w:rPr>
        <w:t xml:space="preserve"> la sua sede </w:t>
      </w:r>
      <w:r w:rsidR="00FA7914">
        <w:rPr>
          <w:rFonts w:ascii="Book Antiqua" w:hAnsi="Book Antiqua"/>
          <w:sz w:val="22"/>
          <w:szCs w:val="22"/>
        </w:rPr>
        <w:t xml:space="preserve">in </w:t>
      </w:r>
      <w:r w:rsidRPr="005B3DCB">
        <w:rPr>
          <w:rFonts w:ascii="Book Antiqua" w:hAnsi="Book Antiqua"/>
          <w:sz w:val="22"/>
          <w:szCs w:val="22"/>
        </w:rPr>
        <w:t xml:space="preserve">Via Ciro Il Grande, 21 - </w:t>
      </w:r>
      <w:r w:rsidR="004441FA" w:rsidRPr="005B3DCB">
        <w:rPr>
          <w:rFonts w:ascii="Book Antiqua" w:hAnsi="Book Antiqua"/>
          <w:sz w:val="22"/>
          <w:szCs w:val="22"/>
        </w:rPr>
        <w:t xml:space="preserve">00144 Roma </w:t>
      </w:r>
      <w:r w:rsidRPr="005B3DCB">
        <w:rPr>
          <w:rFonts w:ascii="Book Antiqua" w:hAnsi="Book Antiqua"/>
          <w:sz w:val="22"/>
          <w:szCs w:val="22"/>
        </w:rPr>
        <w:t xml:space="preserve">- </w:t>
      </w:r>
      <w:r w:rsidR="004441FA" w:rsidRPr="005B3DCB">
        <w:rPr>
          <w:rFonts w:ascii="Book Antiqua" w:hAnsi="Book Antiqua"/>
          <w:sz w:val="22"/>
          <w:szCs w:val="22"/>
        </w:rPr>
        <w:t>al pagamento delle somme indebitamente trattenute e comunque non riconosciute con decorrenza gennaio 2023</w:t>
      </w:r>
      <w:r w:rsidR="00EA1F1F" w:rsidRPr="005B3DCB">
        <w:rPr>
          <w:rFonts w:ascii="Book Antiqua" w:hAnsi="Book Antiqua"/>
          <w:sz w:val="22"/>
          <w:szCs w:val="22"/>
        </w:rPr>
        <w:t xml:space="preserve"> e gennaio 2024</w:t>
      </w:r>
      <w:r w:rsidR="004441FA" w:rsidRPr="005B3DCB">
        <w:rPr>
          <w:rFonts w:ascii="Book Antiqua" w:hAnsi="Book Antiqua"/>
          <w:sz w:val="22"/>
          <w:szCs w:val="22"/>
        </w:rPr>
        <w:t xml:space="preserve">, </w:t>
      </w:r>
      <w:r w:rsidR="00EA1F1F" w:rsidRPr="005B3DCB">
        <w:rPr>
          <w:rFonts w:ascii="Book Antiqua" w:hAnsi="Book Antiqua"/>
          <w:sz w:val="22"/>
          <w:szCs w:val="22"/>
        </w:rPr>
        <w:t xml:space="preserve">applicando le più favorevoli modalità di calcolo vigenti precedentemente al 2023, di cui al </w:t>
      </w:r>
      <w:r w:rsidR="00EA1F1F" w:rsidRPr="005B3DCB">
        <w:rPr>
          <w:rFonts w:ascii="Book Antiqua" w:hAnsi="Book Antiqua"/>
        </w:rPr>
        <w:t>le modalità stabilite nell’articolo 1, comma 478, della legge 27 dicembre 2019, n. 160.</w:t>
      </w:r>
    </w:p>
    <w:p w:rsidR="00EA1F1F" w:rsidRPr="005B3DCB" w:rsidRDefault="00EA1F1F" w:rsidP="005B3DCB">
      <w:pPr>
        <w:pStyle w:val="Default"/>
        <w:jc w:val="both"/>
        <w:rPr>
          <w:rFonts w:ascii="Book Antiqua" w:hAnsi="Book Antiqua"/>
        </w:rPr>
      </w:pPr>
    </w:p>
    <w:p w:rsidR="004441FA" w:rsidRPr="005B3DCB" w:rsidRDefault="00EA1F1F" w:rsidP="005B3DCB">
      <w:pPr>
        <w:pStyle w:val="Default"/>
        <w:jc w:val="both"/>
        <w:rPr>
          <w:rFonts w:ascii="Book Antiqua" w:hAnsi="Book Antiqua"/>
          <w:sz w:val="22"/>
          <w:szCs w:val="22"/>
        </w:rPr>
      </w:pPr>
      <w:r w:rsidRPr="005B3DCB">
        <w:rPr>
          <w:rFonts w:ascii="Book Antiqua" w:hAnsi="Book Antiqua"/>
        </w:rPr>
        <w:t>Il tutto con riferimento alle</w:t>
      </w:r>
      <w:r w:rsidR="004441FA" w:rsidRPr="005B3DCB">
        <w:rPr>
          <w:rFonts w:ascii="Book Antiqua" w:hAnsi="Book Antiqua"/>
          <w:sz w:val="22"/>
          <w:szCs w:val="22"/>
        </w:rPr>
        <w:t xml:space="preserve"> causali di cui in premessa</w:t>
      </w:r>
      <w:r w:rsidRPr="005B3DCB">
        <w:rPr>
          <w:rFonts w:ascii="Book Antiqua" w:hAnsi="Book Antiqua"/>
          <w:sz w:val="22"/>
          <w:szCs w:val="22"/>
        </w:rPr>
        <w:t>,</w:t>
      </w:r>
      <w:r w:rsidR="004441FA" w:rsidRPr="005B3DCB">
        <w:rPr>
          <w:rFonts w:ascii="Book Antiqua" w:hAnsi="Book Antiqua"/>
          <w:sz w:val="22"/>
          <w:szCs w:val="22"/>
        </w:rPr>
        <w:t xml:space="preserve"> oltre </w:t>
      </w:r>
      <w:r w:rsidRPr="005B3DCB">
        <w:rPr>
          <w:rFonts w:ascii="Book Antiqua" w:hAnsi="Book Antiqua"/>
          <w:sz w:val="22"/>
          <w:szCs w:val="22"/>
        </w:rPr>
        <w:t xml:space="preserve">agli </w:t>
      </w:r>
      <w:r w:rsidR="004441FA" w:rsidRPr="005B3DCB">
        <w:rPr>
          <w:rFonts w:ascii="Book Antiqua" w:hAnsi="Book Antiqua"/>
          <w:sz w:val="22"/>
          <w:szCs w:val="22"/>
        </w:rPr>
        <w:t xml:space="preserve">interessi e rivalutazione, entro e non oltre 15 giorni dal ricevimento della presente. </w:t>
      </w:r>
    </w:p>
    <w:p w:rsidR="00EA1F1F" w:rsidRPr="005B3DCB" w:rsidRDefault="00EA1F1F" w:rsidP="005B3DCB">
      <w:pPr>
        <w:pStyle w:val="Default"/>
        <w:jc w:val="both"/>
        <w:rPr>
          <w:rFonts w:ascii="Book Antiqua" w:hAnsi="Book Antiqua"/>
          <w:sz w:val="22"/>
          <w:szCs w:val="22"/>
        </w:rPr>
      </w:pPr>
    </w:p>
    <w:p w:rsidR="004441FA" w:rsidRPr="005B3DCB" w:rsidRDefault="004441FA" w:rsidP="005B3DCB">
      <w:pPr>
        <w:pStyle w:val="Default"/>
        <w:jc w:val="both"/>
        <w:rPr>
          <w:rFonts w:ascii="Book Antiqua" w:hAnsi="Book Antiqua"/>
          <w:sz w:val="22"/>
          <w:szCs w:val="22"/>
        </w:rPr>
      </w:pPr>
      <w:r w:rsidRPr="005B3DCB">
        <w:rPr>
          <w:rFonts w:ascii="Book Antiqua" w:hAnsi="Book Antiqua"/>
          <w:sz w:val="22"/>
          <w:szCs w:val="22"/>
        </w:rPr>
        <w:t xml:space="preserve">Valga la presente ad ogni effetto di legge, ivi incluso quello di costituzione in mora. </w:t>
      </w:r>
    </w:p>
    <w:p w:rsidR="00EA1F1F" w:rsidRPr="005B3DCB" w:rsidRDefault="00EA1F1F" w:rsidP="005B3DCB">
      <w:pPr>
        <w:jc w:val="both"/>
        <w:rPr>
          <w:rFonts w:ascii="Book Antiqua" w:hAnsi="Book Antiqua"/>
        </w:rPr>
      </w:pPr>
    </w:p>
    <w:p w:rsidR="00EA1F1F" w:rsidRPr="005B3DCB" w:rsidRDefault="004441FA" w:rsidP="005B3DCB">
      <w:pPr>
        <w:jc w:val="both"/>
        <w:rPr>
          <w:rFonts w:ascii="Book Antiqua" w:hAnsi="Book Antiqua"/>
        </w:rPr>
      </w:pPr>
      <w:r w:rsidRPr="005B3DCB">
        <w:rPr>
          <w:rFonts w:ascii="Book Antiqua" w:hAnsi="Book Antiqua"/>
        </w:rPr>
        <w:t>Data</w:t>
      </w:r>
      <w:r w:rsidRPr="005B3DCB">
        <w:rPr>
          <w:rFonts w:ascii="Book Antiqua" w:hAnsi="Book Antiqua" w:cs="Calibri"/>
        </w:rPr>
        <w:t xml:space="preserve">……........................... </w:t>
      </w:r>
    </w:p>
    <w:p w:rsidR="00E167C2" w:rsidRDefault="004441FA" w:rsidP="005B3DCB">
      <w:pPr>
        <w:jc w:val="both"/>
        <w:rPr>
          <w:rFonts w:ascii="Book Antiqua" w:hAnsi="Book Antiqua" w:cs="Calibri"/>
        </w:rPr>
      </w:pPr>
      <w:r w:rsidRPr="005B3DCB">
        <w:rPr>
          <w:rFonts w:ascii="Book Antiqua" w:hAnsi="Book Antiqua"/>
        </w:rPr>
        <w:t xml:space="preserve">Firma </w:t>
      </w:r>
      <w:r w:rsidRPr="005B3DCB">
        <w:rPr>
          <w:rFonts w:ascii="Book Antiqua" w:hAnsi="Book Antiqua" w:cs="Calibri"/>
        </w:rPr>
        <w:t>…………………………………………………………………………….</w:t>
      </w:r>
    </w:p>
    <w:p w:rsidR="00ED0056" w:rsidRDefault="00ED0056" w:rsidP="005B3DCB">
      <w:pPr>
        <w:jc w:val="both"/>
        <w:rPr>
          <w:rFonts w:ascii="Book Antiqua" w:hAnsi="Book Antiqua" w:cs="Calibri"/>
        </w:rPr>
      </w:pPr>
    </w:p>
    <w:p w:rsidR="00ED0056" w:rsidRPr="005B3DCB" w:rsidRDefault="00ED0056" w:rsidP="005B3DCB">
      <w:pPr>
        <w:jc w:val="both"/>
        <w:rPr>
          <w:rFonts w:ascii="Book Antiqua" w:hAnsi="Book Antiqua"/>
        </w:rPr>
      </w:pPr>
      <w:r>
        <w:rPr>
          <w:rFonts w:ascii="Book Antiqua" w:hAnsi="Book Antiqua" w:cs="Calibri"/>
        </w:rPr>
        <w:t>Allegata copia documento d’identità</w:t>
      </w:r>
      <w:bookmarkStart w:id="0" w:name="_GoBack"/>
      <w:bookmarkEnd w:id="0"/>
    </w:p>
    <w:sectPr w:rsidR="00ED0056" w:rsidRPr="005B3DCB" w:rsidSect="00F329FD">
      <w:foot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0C6" w:rsidRDefault="00A310C6" w:rsidP="00EA1F1F">
      <w:pPr>
        <w:spacing w:after="0" w:line="240" w:lineRule="auto"/>
      </w:pPr>
      <w:r>
        <w:separator/>
      </w:r>
    </w:p>
  </w:endnote>
  <w:endnote w:type="continuationSeparator" w:id="1">
    <w:p w:rsidR="00A310C6" w:rsidRDefault="00A310C6" w:rsidP="00EA1F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1858566"/>
      <w:docPartObj>
        <w:docPartGallery w:val="Page Numbers (Bottom of Page)"/>
        <w:docPartUnique/>
      </w:docPartObj>
    </w:sdtPr>
    <w:sdtContent>
      <w:p w:rsidR="00EA1F1F" w:rsidRDefault="00F329FD">
        <w:pPr>
          <w:pStyle w:val="Pidipagina"/>
          <w:jc w:val="right"/>
        </w:pPr>
        <w:r>
          <w:fldChar w:fldCharType="begin"/>
        </w:r>
        <w:r w:rsidR="00EA1F1F">
          <w:instrText>PAGE   \* MERGEFORMAT</w:instrText>
        </w:r>
        <w:r>
          <w:fldChar w:fldCharType="separate"/>
        </w:r>
        <w:r w:rsidR="00B57731">
          <w:rPr>
            <w:noProof/>
          </w:rPr>
          <w:t>2</w:t>
        </w:r>
        <w:r>
          <w:fldChar w:fldCharType="end"/>
        </w:r>
      </w:p>
    </w:sdtContent>
  </w:sdt>
  <w:p w:rsidR="00EA1F1F" w:rsidRDefault="00EA1F1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0C6" w:rsidRDefault="00A310C6" w:rsidP="00EA1F1F">
      <w:pPr>
        <w:spacing w:after="0" w:line="240" w:lineRule="auto"/>
      </w:pPr>
      <w:r>
        <w:separator/>
      </w:r>
    </w:p>
  </w:footnote>
  <w:footnote w:type="continuationSeparator" w:id="1">
    <w:p w:rsidR="00A310C6" w:rsidRDefault="00A310C6" w:rsidP="00EA1F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86E46"/>
    <w:multiLevelType w:val="hybridMultilevel"/>
    <w:tmpl w:val="17B2531E"/>
    <w:lvl w:ilvl="0" w:tplc="4BA09240">
      <w:start w:val="1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7221D2C"/>
    <w:multiLevelType w:val="hybridMultilevel"/>
    <w:tmpl w:val="C950A046"/>
    <w:lvl w:ilvl="0" w:tplc="37E8326C">
      <w:start w:val="1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A6A6C22"/>
    <w:multiLevelType w:val="hybridMultilevel"/>
    <w:tmpl w:val="44EC699E"/>
    <w:lvl w:ilvl="0" w:tplc="2DEE9164">
      <w:start w:val="1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A9329C7"/>
    <w:multiLevelType w:val="hybridMultilevel"/>
    <w:tmpl w:val="6824C576"/>
    <w:lvl w:ilvl="0" w:tplc="9CB8E728">
      <w:start w:val="1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78175734"/>
    <w:multiLevelType w:val="hybridMultilevel"/>
    <w:tmpl w:val="73200C64"/>
    <w:lvl w:ilvl="0" w:tplc="230ABFAA">
      <w:start w:val="14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4441FA"/>
    <w:rsid w:val="00034EA7"/>
    <w:rsid w:val="00113F49"/>
    <w:rsid w:val="002D1D0D"/>
    <w:rsid w:val="003F3C30"/>
    <w:rsid w:val="004441FA"/>
    <w:rsid w:val="005B3DCB"/>
    <w:rsid w:val="00690451"/>
    <w:rsid w:val="008C4D21"/>
    <w:rsid w:val="009E393A"/>
    <w:rsid w:val="009F0398"/>
    <w:rsid w:val="00A310C6"/>
    <w:rsid w:val="00B57731"/>
    <w:rsid w:val="00BF573D"/>
    <w:rsid w:val="00E167C2"/>
    <w:rsid w:val="00EA1F1F"/>
    <w:rsid w:val="00ED0056"/>
    <w:rsid w:val="00F329FD"/>
    <w:rsid w:val="00FA791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29F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441FA"/>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113F49"/>
    <w:rPr>
      <w:color w:val="0000FF" w:themeColor="hyperlink"/>
      <w:u w:val="single"/>
    </w:rPr>
  </w:style>
  <w:style w:type="character" w:styleId="Enfasicorsivo">
    <w:name w:val="Emphasis"/>
    <w:basedOn w:val="Carpredefinitoparagrafo"/>
    <w:uiPriority w:val="20"/>
    <w:qFormat/>
    <w:rsid w:val="003F3C30"/>
    <w:rPr>
      <w:i/>
      <w:iCs/>
    </w:rPr>
  </w:style>
  <w:style w:type="paragraph" w:styleId="Paragrafoelenco">
    <w:name w:val="List Paragraph"/>
    <w:basedOn w:val="Normale"/>
    <w:uiPriority w:val="34"/>
    <w:qFormat/>
    <w:rsid w:val="009F0398"/>
    <w:pPr>
      <w:ind w:left="720"/>
      <w:contextualSpacing/>
    </w:pPr>
  </w:style>
  <w:style w:type="paragraph" w:styleId="Intestazione">
    <w:name w:val="header"/>
    <w:basedOn w:val="Normale"/>
    <w:link w:val="IntestazioneCarattere"/>
    <w:uiPriority w:val="99"/>
    <w:unhideWhenUsed/>
    <w:rsid w:val="00EA1F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1F1F"/>
  </w:style>
  <w:style w:type="paragraph" w:styleId="Pidipagina">
    <w:name w:val="footer"/>
    <w:basedOn w:val="Normale"/>
    <w:link w:val="PidipaginaCarattere"/>
    <w:uiPriority w:val="99"/>
    <w:unhideWhenUsed/>
    <w:rsid w:val="00EA1F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1F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441FA"/>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113F49"/>
    <w:rPr>
      <w:color w:val="0000FF" w:themeColor="hyperlink"/>
      <w:u w:val="single"/>
    </w:rPr>
  </w:style>
  <w:style w:type="character" w:styleId="Enfasicorsivo">
    <w:name w:val="Emphasis"/>
    <w:basedOn w:val="Carpredefinitoparagrafo"/>
    <w:uiPriority w:val="20"/>
    <w:qFormat/>
    <w:rsid w:val="003F3C30"/>
    <w:rPr>
      <w:i/>
      <w:iCs/>
    </w:rPr>
  </w:style>
  <w:style w:type="paragraph" w:styleId="Paragrafoelenco">
    <w:name w:val="List Paragraph"/>
    <w:basedOn w:val="Normale"/>
    <w:uiPriority w:val="34"/>
    <w:qFormat/>
    <w:rsid w:val="009F0398"/>
    <w:pPr>
      <w:ind w:left="720"/>
      <w:contextualSpacing/>
    </w:pPr>
  </w:style>
  <w:style w:type="paragraph" w:styleId="Intestazione">
    <w:name w:val="header"/>
    <w:basedOn w:val="Normale"/>
    <w:link w:val="IntestazioneCarattere"/>
    <w:uiPriority w:val="99"/>
    <w:unhideWhenUsed/>
    <w:rsid w:val="00EA1F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1F1F"/>
  </w:style>
  <w:style w:type="paragraph" w:styleId="Pidipagina">
    <w:name w:val="footer"/>
    <w:basedOn w:val="Normale"/>
    <w:link w:val="PidipaginaCarattere"/>
    <w:uiPriority w:val="99"/>
    <w:unhideWhenUsed/>
    <w:rsid w:val="00EA1F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1F1F"/>
  </w:style>
</w:styles>
</file>

<file path=word/webSettings.xml><?xml version="1.0" encoding="utf-8"?>
<w:webSettings xmlns:r="http://schemas.openxmlformats.org/officeDocument/2006/relationships" xmlns:w="http://schemas.openxmlformats.org/wordprocessingml/2006/main">
  <w:divs>
    <w:div w:id="949976420">
      <w:bodyDiv w:val="1"/>
      <w:marLeft w:val="0"/>
      <w:marRight w:val="0"/>
      <w:marTop w:val="0"/>
      <w:marBottom w:val="0"/>
      <w:divBdr>
        <w:top w:val="none" w:sz="0" w:space="0" w:color="auto"/>
        <w:left w:val="none" w:sz="0" w:space="0" w:color="auto"/>
        <w:bottom w:val="none" w:sz="0" w:space="0" w:color="auto"/>
        <w:right w:val="none" w:sz="0" w:space="0" w:color="auto"/>
      </w:divBdr>
      <w:divsChild>
        <w:div w:id="204759299">
          <w:marLeft w:val="-2400"/>
          <w:marRight w:val="-480"/>
          <w:marTop w:val="0"/>
          <w:marBottom w:val="0"/>
          <w:divBdr>
            <w:top w:val="none" w:sz="0" w:space="0" w:color="auto"/>
            <w:left w:val="none" w:sz="0" w:space="0" w:color="auto"/>
            <w:bottom w:val="none" w:sz="0" w:space="0" w:color="auto"/>
            <w:right w:val="none" w:sz="0" w:space="0" w:color="auto"/>
          </w:divBdr>
        </w:div>
        <w:div w:id="1314404872">
          <w:marLeft w:val="-2400"/>
          <w:marRight w:val="-480"/>
          <w:marTop w:val="0"/>
          <w:marBottom w:val="0"/>
          <w:divBdr>
            <w:top w:val="none" w:sz="0" w:space="0" w:color="auto"/>
            <w:left w:val="none" w:sz="0" w:space="0" w:color="auto"/>
            <w:bottom w:val="none" w:sz="0" w:space="0" w:color="auto"/>
            <w:right w:val="none" w:sz="0" w:space="0" w:color="auto"/>
          </w:divBdr>
        </w:div>
        <w:div w:id="1317956693">
          <w:marLeft w:val="-2400"/>
          <w:marRight w:val="-480"/>
          <w:marTop w:val="0"/>
          <w:marBottom w:val="0"/>
          <w:divBdr>
            <w:top w:val="none" w:sz="0" w:space="0" w:color="auto"/>
            <w:left w:val="none" w:sz="0" w:space="0" w:color="auto"/>
            <w:bottom w:val="none" w:sz="0" w:space="0" w:color="auto"/>
            <w:right w:val="none" w:sz="0" w:space="0" w:color="auto"/>
          </w:divBdr>
        </w:div>
        <w:div w:id="798453108">
          <w:marLeft w:val="-2400"/>
          <w:marRight w:val="-480"/>
          <w:marTop w:val="0"/>
          <w:marBottom w:val="0"/>
          <w:divBdr>
            <w:top w:val="none" w:sz="0" w:space="0" w:color="auto"/>
            <w:left w:val="none" w:sz="0" w:space="0" w:color="auto"/>
            <w:bottom w:val="none" w:sz="0" w:space="0" w:color="auto"/>
            <w:right w:val="none" w:sz="0" w:space="0" w:color="auto"/>
          </w:divBdr>
        </w:div>
        <w:div w:id="591549049">
          <w:marLeft w:val="-2400"/>
          <w:marRight w:val="-480"/>
          <w:marTop w:val="0"/>
          <w:marBottom w:val="0"/>
          <w:divBdr>
            <w:top w:val="none" w:sz="0" w:space="0" w:color="auto"/>
            <w:left w:val="none" w:sz="0" w:space="0" w:color="auto"/>
            <w:bottom w:val="none" w:sz="0" w:space="0" w:color="auto"/>
            <w:right w:val="none" w:sz="0" w:space="0" w:color="auto"/>
          </w:divBdr>
        </w:div>
        <w:div w:id="442113700">
          <w:marLeft w:val="-2400"/>
          <w:marRight w:val="-480"/>
          <w:marTop w:val="0"/>
          <w:marBottom w:val="0"/>
          <w:divBdr>
            <w:top w:val="none" w:sz="0" w:space="0" w:color="auto"/>
            <w:left w:val="none" w:sz="0" w:space="0" w:color="auto"/>
            <w:bottom w:val="none" w:sz="0" w:space="0" w:color="auto"/>
            <w:right w:val="none" w:sz="0" w:space="0" w:color="auto"/>
          </w:divBdr>
        </w:div>
        <w:div w:id="133134883">
          <w:marLeft w:val="-2400"/>
          <w:marRight w:val="-480"/>
          <w:marTop w:val="0"/>
          <w:marBottom w:val="0"/>
          <w:divBdr>
            <w:top w:val="none" w:sz="0" w:space="0" w:color="auto"/>
            <w:left w:val="none" w:sz="0" w:space="0" w:color="auto"/>
            <w:bottom w:val="none" w:sz="0" w:space="0" w:color="auto"/>
            <w:right w:val="none" w:sz="0" w:space="0" w:color="auto"/>
          </w:divBdr>
        </w:div>
        <w:div w:id="1265725121">
          <w:marLeft w:val="-2400"/>
          <w:marRight w:val="-480"/>
          <w:marTop w:val="0"/>
          <w:marBottom w:val="0"/>
          <w:divBdr>
            <w:top w:val="none" w:sz="0" w:space="0" w:color="auto"/>
            <w:left w:val="none" w:sz="0" w:space="0" w:color="auto"/>
            <w:bottom w:val="none" w:sz="0" w:space="0" w:color="auto"/>
            <w:right w:val="none" w:sz="0" w:space="0" w:color="auto"/>
          </w:divBdr>
        </w:div>
        <w:div w:id="240988895">
          <w:marLeft w:val="-2400"/>
          <w:marRight w:val="-480"/>
          <w:marTop w:val="0"/>
          <w:marBottom w:val="0"/>
          <w:divBdr>
            <w:top w:val="none" w:sz="0" w:space="0" w:color="auto"/>
            <w:left w:val="none" w:sz="0" w:space="0" w:color="auto"/>
            <w:bottom w:val="none" w:sz="0" w:space="0" w:color="auto"/>
            <w:right w:val="none" w:sz="0" w:space="0" w:color="auto"/>
          </w:divBdr>
        </w:div>
        <w:div w:id="1044213162">
          <w:marLeft w:val="-2400"/>
          <w:marRight w:val="-480"/>
          <w:marTop w:val="0"/>
          <w:marBottom w:val="0"/>
          <w:divBdr>
            <w:top w:val="none" w:sz="0" w:space="0" w:color="auto"/>
            <w:left w:val="none" w:sz="0" w:space="0" w:color="auto"/>
            <w:bottom w:val="none" w:sz="0" w:space="0" w:color="auto"/>
            <w:right w:val="none" w:sz="0" w:space="0" w:color="auto"/>
          </w:divBdr>
        </w:div>
        <w:div w:id="1271006169">
          <w:marLeft w:val="-2400"/>
          <w:marRight w:val="-480"/>
          <w:marTop w:val="0"/>
          <w:marBottom w:val="0"/>
          <w:divBdr>
            <w:top w:val="none" w:sz="0" w:space="0" w:color="auto"/>
            <w:left w:val="none" w:sz="0" w:space="0" w:color="auto"/>
            <w:bottom w:val="none" w:sz="0" w:space="0" w:color="auto"/>
            <w:right w:val="none" w:sz="0" w:space="0" w:color="auto"/>
          </w:divBdr>
        </w:div>
        <w:div w:id="748691416">
          <w:marLeft w:val="-2400"/>
          <w:marRight w:val="-480"/>
          <w:marTop w:val="0"/>
          <w:marBottom w:val="0"/>
          <w:divBdr>
            <w:top w:val="none" w:sz="0" w:space="0" w:color="auto"/>
            <w:left w:val="none" w:sz="0" w:space="0" w:color="auto"/>
            <w:bottom w:val="none" w:sz="0" w:space="0" w:color="auto"/>
            <w:right w:val="none" w:sz="0" w:space="0" w:color="auto"/>
          </w:divBdr>
        </w:div>
        <w:div w:id="720398594">
          <w:marLeft w:val="-2400"/>
          <w:marRight w:val="-480"/>
          <w:marTop w:val="0"/>
          <w:marBottom w:val="0"/>
          <w:divBdr>
            <w:top w:val="none" w:sz="0" w:space="0" w:color="auto"/>
            <w:left w:val="none" w:sz="0" w:space="0" w:color="auto"/>
            <w:bottom w:val="none" w:sz="0" w:space="0" w:color="auto"/>
            <w:right w:val="none" w:sz="0" w:space="0" w:color="auto"/>
          </w:divBdr>
        </w:div>
        <w:div w:id="380599015">
          <w:marLeft w:val="-2400"/>
          <w:marRight w:val="-480"/>
          <w:marTop w:val="0"/>
          <w:marBottom w:val="0"/>
          <w:divBdr>
            <w:top w:val="none" w:sz="0" w:space="0" w:color="auto"/>
            <w:left w:val="none" w:sz="0" w:space="0" w:color="auto"/>
            <w:bottom w:val="none" w:sz="0" w:space="0" w:color="auto"/>
            <w:right w:val="none" w:sz="0" w:space="0" w:color="auto"/>
          </w:divBdr>
        </w:div>
        <w:div w:id="378096434">
          <w:marLeft w:val="-2400"/>
          <w:marRight w:val="-480"/>
          <w:marTop w:val="0"/>
          <w:marBottom w:val="0"/>
          <w:divBdr>
            <w:top w:val="none" w:sz="0" w:space="0" w:color="auto"/>
            <w:left w:val="none" w:sz="0" w:space="0" w:color="auto"/>
            <w:bottom w:val="none" w:sz="0" w:space="0" w:color="auto"/>
            <w:right w:val="none" w:sz="0" w:space="0" w:color="auto"/>
          </w:divBdr>
        </w:div>
        <w:div w:id="1743261632">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ufficiosegreteria.presidenza@postacert.inps.go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1144</Words>
  <Characters>6524</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2024-05-29T06:40:00Z</dcterms:created>
  <dcterms:modified xsi:type="dcterms:W3CDTF">2024-05-29T06:40:00Z</dcterms:modified>
</cp:coreProperties>
</file>