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603" w:rsidRDefault="00316603" w:rsidP="003F116C">
      <w:pPr>
        <w:rPr>
          <w:rStyle w:val="Enfasigrassetto"/>
          <w:rFonts w:ascii="Helvetica" w:hAnsi="Helvetica" w:cs="Helvetica"/>
          <w:color w:val="292929"/>
          <w:sz w:val="18"/>
          <w:szCs w:val="18"/>
        </w:rPr>
      </w:pPr>
    </w:p>
    <w:p w:rsidR="00316603" w:rsidRDefault="00316603" w:rsidP="003F116C">
      <w:pPr>
        <w:rPr>
          <w:rStyle w:val="Enfasigrassetto"/>
          <w:rFonts w:ascii="Helvetica" w:hAnsi="Helvetica" w:cs="Helvetica"/>
          <w:color w:val="292929"/>
          <w:sz w:val="18"/>
          <w:szCs w:val="18"/>
        </w:rPr>
      </w:pPr>
    </w:p>
    <w:p w:rsidR="00316603" w:rsidRDefault="00316603" w:rsidP="00316603">
      <w:pPr>
        <w:pStyle w:val="NormaleWeb"/>
        <w:shd w:val="clear" w:color="auto" w:fill="FFFFFF"/>
        <w:spacing w:before="150" w:beforeAutospacing="0" w:after="150" w:afterAutospacing="0"/>
        <w:rPr>
          <w:rStyle w:val="Enfasigrassetto"/>
          <w:rFonts w:ascii="Helvetica" w:hAnsi="Helvetica" w:cs="Helvetica"/>
          <w:color w:val="292929"/>
          <w:sz w:val="18"/>
          <w:szCs w:val="18"/>
        </w:rPr>
      </w:pPr>
      <w:r>
        <w:rPr>
          <w:rStyle w:val="Enfasigrassetto"/>
          <w:rFonts w:ascii="Helvetica" w:hAnsi="Helvetica" w:cs="Helvetica"/>
          <w:color w:val="292929"/>
          <w:sz w:val="18"/>
          <w:szCs w:val="18"/>
        </w:rPr>
        <w:t>Trattamento di dati personali mediante un sistema utilizzato per la gestione delle attese allo sportello –</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 xml:space="preserve"> 16 novembre 2017</w:t>
      </w:r>
    </w:p>
    <w:p w:rsidR="00316603" w:rsidRDefault="00316603" w:rsidP="00316603">
      <w:pPr>
        <w:pStyle w:val="NormaleWeb"/>
        <w:shd w:val="clear" w:color="auto" w:fill="FFFFFF"/>
        <w:spacing w:before="150" w:beforeAutospacing="0" w:after="150" w:afterAutospacing="0"/>
        <w:jc w:val="right"/>
        <w:rPr>
          <w:rFonts w:ascii="Helvetica" w:hAnsi="Helvetica" w:cs="Helvetica"/>
          <w:color w:val="292929"/>
          <w:sz w:val="20"/>
          <w:szCs w:val="20"/>
        </w:rPr>
      </w:pPr>
      <w:r>
        <w:rPr>
          <w:rFonts w:ascii="Helvetica" w:hAnsi="Helvetica" w:cs="Helvetica"/>
          <w:color w:val="292929"/>
          <w:sz w:val="18"/>
          <w:szCs w:val="18"/>
        </w:rPr>
        <w:t>Registro dei provvedimenti</w:t>
      </w:r>
      <w:r>
        <w:rPr>
          <w:rFonts w:ascii="Helvetica" w:hAnsi="Helvetica" w:cs="Helvetica"/>
          <w:color w:val="292929"/>
          <w:sz w:val="18"/>
          <w:szCs w:val="18"/>
        </w:rPr>
        <w:br/>
        <w:t>n. 479 del 16 novembre 2017</w:t>
      </w:r>
    </w:p>
    <w:p w:rsidR="00316603" w:rsidRDefault="00316603" w:rsidP="00316603">
      <w:pPr>
        <w:pStyle w:val="NormaleWeb"/>
        <w:shd w:val="clear" w:color="auto" w:fill="FFFFFF"/>
        <w:spacing w:before="150" w:beforeAutospacing="0" w:after="150" w:afterAutospacing="0"/>
        <w:jc w:val="center"/>
        <w:rPr>
          <w:rFonts w:ascii="Helvetica" w:hAnsi="Helvetica" w:cs="Helvetica"/>
          <w:color w:val="292929"/>
          <w:sz w:val="20"/>
          <w:szCs w:val="20"/>
        </w:rPr>
      </w:pPr>
      <w:r>
        <w:rPr>
          <w:rStyle w:val="Enfasigrassetto"/>
          <w:rFonts w:ascii="Helvetica" w:hAnsi="Helvetica" w:cs="Helvetica"/>
          <w:color w:val="292929"/>
          <w:sz w:val="18"/>
          <w:szCs w:val="18"/>
        </w:rPr>
        <w:t>IL GARANTE PER LA PROTEZIONE DEI DATI PERSONALI</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NELLA riunione odierna, in presenza del dott. Antonello Soro, presidente, della dott.ssa Augusta </w:t>
      </w:r>
      <w:proofErr w:type="spellStart"/>
      <w:r>
        <w:rPr>
          <w:rFonts w:ascii="Helvetica" w:hAnsi="Helvetica" w:cs="Helvetica"/>
          <w:color w:val="292929"/>
          <w:sz w:val="18"/>
          <w:szCs w:val="18"/>
        </w:rPr>
        <w:t>Iannini</w:t>
      </w:r>
      <w:proofErr w:type="spellEnd"/>
      <w:r>
        <w:rPr>
          <w:rFonts w:ascii="Helvetica" w:hAnsi="Helvetica" w:cs="Helvetica"/>
          <w:color w:val="292929"/>
          <w:sz w:val="18"/>
          <w:szCs w:val="18"/>
        </w:rPr>
        <w:t xml:space="preserve">, vicepresidente, della dott.ssa Giovanna Bianchi Clerici e della prof.ssa Licia </w:t>
      </w:r>
      <w:proofErr w:type="spellStart"/>
      <w:r>
        <w:rPr>
          <w:rFonts w:ascii="Helvetica" w:hAnsi="Helvetica" w:cs="Helvetica"/>
          <w:color w:val="292929"/>
          <w:sz w:val="18"/>
          <w:szCs w:val="18"/>
        </w:rPr>
        <w:t>Califano</w:t>
      </w:r>
      <w:proofErr w:type="spellEnd"/>
      <w:r>
        <w:rPr>
          <w:rFonts w:ascii="Helvetica" w:hAnsi="Helvetica" w:cs="Helvetica"/>
          <w:color w:val="292929"/>
          <w:sz w:val="18"/>
          <w:szCs w:val="18"/>
        </w:rPr>
        <w:t xml:space="preserve">, componenti, e del dott. Giuseppe </w:t>
      </w:r>
      <w:proofErr w:type="spellStart"/>
      <w:r>
        <w:rPr>
          <w:rFonts w:ascii="Helvetica" w:hAnsi="Helvetica" w:cs="Helvetica"/>
          <w:color w:val="292929"/>
          <w:sz w:val="18"/>
          <w:szCs w:val="18"/>
        </w:rPr>
        <w:t>Busia</w:t>
      </w:r>
      <w:proofErr w:type="spellEnd"/>
      <w:r>
        <w:rPr>
          <w:rFonts w:ascii="Helvetica" w:hAnsi="Helvetica" w:cs="Helvetica"/>
          <w:color w:val="292929"/>
          <w:sz w:val="18"/>
          <w:szCs w:val="18"/>
        </w:rPr>
        <w:t>, segretario generale;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VISTO il </w:t>
      </w:r>
      <w:proofErr w:type="spellStart"/>
      <w:r>
        <w:rPr>
          <w:rFonts w:ascii="Helvetica" w:hAnsi="Helvetica" w:cs="Helvetica"/>
          <w:color w:val="292929"/>
          <w:sz w:val="18"/>
          <w:szCs w:val="18"/>
        </w:rPr>
        <w:t>d.lg.</w:t>
      </w:r>
      <w:proofErr w:type="spellEnd"/>
      <w:r>
        <w:rPr>
          <w:rFonts w:ascii="Helvetica" w:hAnsi="Helvetica" w:cs="Helvetica"/>
          <w:color w:val="292929"/>
          <w:sz w:val="18"/>
          <w:szCs w:val="18"/>
        </w:rPr>
        <w:t xml:space="preserve"> 30 giugno 2003, n. 196 (Codice in materia di protezione dei dati personali, di seguito "Codice");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VISTO il reclamo e le segnalazioni con le quali è stata lamentata la illiceità di trattamenti effettuati da Poste Italiane S.p.A. mediante un sistema utilizzato per la gestione delle attese allo sportello;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VISTA la decisione n. 517 del 7 dicembre 2016 (www.garanteprivacy.it, doc. web n. </w:t>
      </w:r>
      <w:hyperlink r:id="rId4" w:history="1">
        <w:r>
          <w:rPr>
            <w:rStyle w:val="Collegamentoipertestuale"/>
            <w:rFonts w:ascii="Helvetica" w:hAnsi="Helvetica" w:cs="Helvetica"/>
            <w:b/>
            <w:bCs/>
            <w:color w:val="1C6685"/>
            <w:sz w:val="18"/>
            <w:szCs w:val="18"/>
            <w:u w:val="none"/>
          </w:rPr>
          <w:t>5947045</w:t>
        </w:r>
      </w:hyperlink>
      <w:r>
        <w:rPr>
          <w:rFonts w:ascii="Helvetica" w:hAnsi="Helvetica" w:cs="Helvetica"/>
          <w:color w:val="292929"/>
          <w:sz w:val="18"/>
          <w:szCs w:val="18"/>
        </w:rPr>
        <w:t>) in base alla quale è stato deciso di "avviare un autonomo separato procedimento per una valutazione più generale del trattamento dei dati effettuati da Poste attraverso il sistema "Gestione Attese";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ESAMINATE le risultanze istruttorie e la documentazione in atti;</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VISTE le osservazioni formulate dal segretario generale ai sensi dell'art. 15 del regolamento del Garante n. 1/2000;</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RELATORE il dott. Antonello Soro;</w:t>
      </w:r>
    </w:p>
    <w:p w:rsidR="00316603" w:rsidRDefault="00316603" w:rsidP="00316603">
      <w:pPr>
        <w:pStyle w:val="NormaleWeb"/>
        <w:shd w:val="clear" w:color="auto" w:fill="FFFFFF"/>
        <w:spacing w:before="150" w:beforeAutospacing="0" w:after="150" w:afterAutospacing="0"/>
        <w:jc w:val="center"/>
        <w:rPr>
          <w:rFonts w:ascii="Helvetica" w:hAnsi="Helvetica" w:cs="Helvetica"/>
          <w:color w:val="292929"/>
          <w:sz w:val="20"/>
          <w:szCs w:val="20"/>
        </w:rPr>
      </w:pPr>
      <w:r>
        <w:rPr>
          <w:rStyle w:val="Enfasigrassetto"/>
          <w:rFonts w:ascii="Helvetica" w:hAnsi="Helvetica" w:cs="Helvetica"/>
          <w:color w:val="292929"/>
          <w:sz w:val="18"/>
          <w:szCs w:val="18"/>
        </w:rPr>
        <w:t>PREMESSO</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1. I casi sottoposti al Garante.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Sono pervenute numerose segnalazioni e un reclamo da parte di Organizzazioni sindacali e dipendenti di Poste Italiane S.p.A. (di seguito, la società) in merito alla possibile violazione della disciplina in materia di protezione dei dati personali per effetto dell'impiego, in alcuni uffici postali, di un sistema utilizzato per la gestione delle attese allo sportello (denominato dalla società,  "Gestore" o "Gestione Attese", di seguito "il sistema"). In particolare, il sistema, utilizzato per la gestione delle code nelle operazioni di sportello, comporterebbe un trattamento illecito e sproporzionato di dati personali (tra i quali il nome del singolo dipendente), anche mediante la visualizzazione su un display luminoso posto al disopra dello sportello. Il trattamento sarebbe stato inoltre intrapreso dalla società senza fornire la dovuta informativa ai dipendenti e senza la stipula di specifico accordo con le parti sindacali.</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2. L'istruttoria.</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Nel dare riscontro alle richieste di informazioni formulate dall'Ufficio al fine di verificare la fondatezza  delle doglianze e l'osservanza dei principi e delle disposizioni in materia di protezione dei dati personali la società, in qualità di titolare del trattamento, ha dichiarato (ai sensi dell'articolo 168 del Codice) che il sistema sarebbe stato implementato nell'ambito del miglioramento del rapporto con gli utenti e comunque in aggiunta all'utilizzo dei c.d. cartellini identificativi appuntati sull'abito o sulla divisa del lavoratore già visibili alla clientela.  In particolare, la società ha dichiarato che:</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a) in quanto "fornitore del servizio postale universale" svolge una "attività di preminente interesse generale" e, in tale quadro, il "sistema Gestore attese […] costituisce uno strumento aziendale nell'ambito della libertà di organizzazione del lavoro che Poste si è data"; il dipendente è pertanto tenuto a osservare le disposizioni per l'esecuzione della prestazione impartite dal datore di lavoro (artt. 2104 e 2015 c.c. e art. 52 CCNL per il settore postale del 14 aprile 2011; codice etico aziendale richiamato in  nota 24.04.2017, p.2);</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 xml:space="preserve">b) in quanto fornitore del servizio postale universale, trova applicazione "per analogia" l'articolo 55-novies del </w:t>
      </w:r>
      <w:proofErr w:type="spellStart"/>
      <w:r>
        <w:rPr>
          <w:rFonts w:ascii="Helvetica" w:hAnsi="Helvetica" w:cs="Helvetica"/>
          <w:color w:val="292929"/>
          <w:sz w:val="18"/>
          <w:szCs w:val="18"/>
        </w:rPr>
        <w:t>dl.g.</w:t>
      </w:r>
      <w:proofErr w:type="spellEnd"/>
      <w:r>
        <w:rPr>
          <w:rFonts w:ascii="Helvetica" w:hAnsi="Helvetica" w:cs="Helvetica"/>
          <w:color w:val="292929"/>
          <w:sz w:val="18"/>
          <w:szCs w:val="18"/>
        </w:rPr>
        <w:t xml:space="preserve"> n. 165/2001, che prevede l'obbligo per i dipendenti che svolgono attività a contatto con il pubblico dell'uso "di cartellini identificativi" o dell'apposizione di "targhe […] presso la postazione di lavoro";</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c) l'obiettivo perseguito dalla società mediante l'impiego del citato sistema sarebbe quello di "rendere conoscibile e trasparente l'organizzazione e l'attività, agevolando i rapporti con gli utenti nonché quello di responsabilizzare i dipendenti [...] mediante l'indicazione sul display del Gestore Attese del solo nome di battesimo, e non anche del cognome, dell'operatore" (la società ha inoltre precisato che su richiesta del dipendente sarebbe possibile la visualizzazione di un acronimo; cfr. nota cit., p. 3);</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d)  starebbe "valutando l'opportunità di poter limitare il tempo di esposizione del nome del dipendente sul display per il tempo strettamente necessario tra la comparsa dello sportello sul tabellone principale e l'arrivo del cliente allo specifico sportello di destinazione"(cfr. nota cit., p. 4);</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lastRenderedPageBreak/>
        <w:t xml:space="preserve">e) di aver, in data 4 marzo 2015, "informato le </w:t>
      </w:r>
      <w:proofErr w:type="spellStart"/>
      <w:r>
        <w:rPr>
          <w:rFonts w:ascii="Helvetica" w:hAnsi="Helvetica" w:cs="Helvetica"/>
          <w:color w:val="292929"/>
          <w:sz w:val="18"/>
          <w:szCs w:val="18"/>
        </w:rPr>
        <w:t>OO.SS.</w:t>
      </w:r>
      <w:proofErr w:type="spellEnd"/>
      <w:r>
        <w:rPr>
          <w:rFonts w:ascii="Helvetica" w:hAnsi="Helvetica" w:cs="Helvetica"/>
          <w:color w:val="292929"/>
          <w:sz w:val="18"/>
          <w:szCs w:val="18"/>
        </w:rPr>
        <w:t>, a livello centrale, del sistema Gestore attese con apposita documentazione descrittiva"; a tale informativa non sarebbero seguite "eccezioni relativamente al trattamento dei dati personali dei dipendenti mediante l'utilizzo del nuovo sistema"(cfr. nota cit., p. 3 e all. n. 1) e comunque "si sta provvedendo a redigere una nuova informativa".</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2.2. Con specifico riferimento alle concrete modalità di funzionamento del sistema la società ha, in un primo momento, dichiarato che (cfr. nota cit. p. 5):</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a)  il sistema "non storicizza i dati relativi al dipendente e alla sua operatività";</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b) il sistema consente la visualizzazione del "nome di battesimo dell'operatore nel display di Sportello e di Sala Consulenza […] e nella console di monitoraggio dell'andamento dell'attesa";</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c) alla console accede il personale "profilato in base a ruoli definiti ed al cono di visibilità territoriale", in particolare si tratta di "personale addetto al monitoraggio dell'andamento delle attese" e di "personale tecnico-informatico sia territoriale che centrale";</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d) "il sistema consentiva di estrapolare una reportistica che includeva l'anagrafica operatore ma è stato recentemente rilasciato un aggiornamento che non ne permette più l'estrazione".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2.3. Nel corso del successivo approfondimento istruttorio, finalizzato ad acquisire elementi ritenuti indispensabili alla completa verifica di tutte le funzionalità del sistema con riguardo in particolare alla c.d. "console di monitoraggio", la società ha fatto pervenire ulteriore riscontro fornendo più precisi elementi dai quali emerge che:</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a) sul display presente sul singolo sportello dell'ufficio postale sono visualizzabili: "il numero di sportello, il nome di battesimo dell'operatore e l'eventuale lingua straniera parlata dall'operatore" (cfr. nota 15 settembre 2017, p. 2 in atti).</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 xml:space="preserve">b) la console di monitoraggio consente al personale incaricato la visualizzazione "in tempo reale" di alcune informazioni quali: il "numero dello sportello" e lo "stato (aperto/chiuso)", " il nome di battesimo dell'operatore" e "informazioni sulla gestione delle code (servizi forniti dal singolo sportello, regole di chiamata e </w:t>
      </w:r>
      <w:proofErr w:type="spellStart"/>
      <w:r>
        <w:rPr>
          <w:rFonts w:ascii="Helvetica" w:hAnsi="Helvetica" w:cs="Helvetica"/>
          <w:color w:val="292929"/>
          <w:sz w:val="18"/>
          <w:szCs w:val="18"/>
        </w:rPr>
        <w:t>nr</w:t>
      </w:r>
      <w:proofErr w:type="spellEnd"/>
      <w:r>
        <w:rPr>
          <w:rFonts w:ascii="Helvetica" w:hAnsi="Helvetica" w:cs="Helvetica"/>
          <w:color w:val="292929"/>
          <w:sz w:val="18"/>
          <w:szCs w:val="18"/>
        </w:rPr>
        <w:t xml:space="preserve">. Ticket serviti)","il tempo medio […] per tipologia di operazione" anziché "la durata della singola operazione"(cfr. nota cit., p. 2). Più nel dettaglio, i dati visibili sulla consolle "relativi soltanto al giorno corrente" sarebbero "funzionario, ufficio postale, sportello, ticket corrente, postazione di lavoro, operatore, gruppo di chiamata, </w:t>
      </w:r>
      <w:proofErr w:type="spellStart"/>
      <w:r>
        <w:rPr>
          <w:rFonts w:ascii="Helvetica" w:hAnsi="Helvetica" w:cs="Helvetica"/>
          <w:color w:val="292929"/>
          <w:sz w:val="18"/>
          <w:szCs w:val="18"/>
        </w:rPr>
        <w:t>customizzazioni</w:t>
      </w:r>
      <w:proofErr w:type="spellEnd"/>
      <w:r>
        <w:rPr>
          <w:rFonts w:ascii="Helvetica" w:hAnsi="Helvetica" w:cs="Helvetica"/>
          <w:color w:val="292929"/>
          <w:sz w:val="18"/>
          <w:szCs w:val="18"/>
        </w:rPr>
        <w:t>, ticket serviti, chiamata corrente" (cfr. nota cit., p. 4).</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c) alla consolle possono avere accesso circa 12.135 utenti autorizzati con diversi ruoli, tra figure centrali (n. 147 persone), figure di area territoriale (n. 53), figure di filiale (n. 609) e direttori degli uffici postali (DUP) (n.11.326), nell'ambito di specifiche funzioni aziendali (cfr. tabella p. 2, nota cit.);</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d) i diversi profili di accesso hanno rispettivamente la visibilità dei dati relativi a tutti gli uffici d'Italia se operanti a livello centrale e dei dati relativi a tutti gli uffici dell'area della filiale di competenza, se periferici. I direttori invece hanno accesso ai soli dati relativi all'ufficio postale di competenza. Le figure, operanti a livello centrale e periferico, sopra menzionate hanno la possibilità di accedere "in tempo reale" ai menzionati dati "al ricorrere di determinati eventi/anomalie" (peraltro non esplicitate); diversamente, ai direttori dei singoli uffici postali DUP è consentita la visibilità "continuativamente"(cfr. nota cit., p. 3 , ove si legge il "direttore [</w:t>
      </w:r>
      <w:proofErr w:type="spellStart"/>
      <w:r>
        <w:rPr>
          <w:rFonts w:ascii="Helvetica" w:hAnsi="Helvetica" w:cs="Helvetica"/>
          <w:color w:val="292929"/>
          <w:sz w:val="18"/>
          <w:szCs w:val="18"/>
        </w:rPr>
        <w:t>…tra</w:t>
      </w:r>
      <w:proofErr w:type="spellEnd"/>
      <w:r>
        <w:rPr>
          <w:rFonts w:ascii="Helvetica" w:hAnsi="Helvetica" w:cs="Helvetica"/>
          <w:color w:val="292929"/>
          <w:sz w:val="18"/>
          <w:szCs w:val="18"/>
        </w:rPr>
        <w:t xml:space="preserve"> l'altro] assicura una gestione flessibile del personale in funzione dei picchi e dei volumi. A tal fine  [consulta] costantemente la console per gestire eventuali situazioni di criticità nell'attesa dei clienti in sala");</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 xml:space="preserve">e) la console renderebbe disponibili "anche dati statistici con una profondità storica massima di 40 giorni"(senza indicazione del nome di battesimo), non specificando gli accorgimenti che la Società intende mettere in atto per </w:t>
      </w:r>
      <w:proofErr w:type="spellStart"/>
      <w:r>
        <w:rPr>
          <w:rFonts w:ascii="Helvetica" w:hAnsi="Helvetica" w:cs="Helvetica"/>
          <w:color w:val="292929"/>
          <w:sz w:val="18"/>
          <w:szCs w:val="18"/>
        </w:rPr>
        <w:t>anonimizzare</w:t>
      </w:r>
      <w:proofErr w:type="spellEnd"/>
      <w:r>
        <w:rPr>
          <w:rFonts w:ascii="Helvetica" w:hAnsi="Helvetica" w:cs="Helvetica"/>
          <w:color w:val="292929"/>
          <w:sz w:val="18"/>
          <w:szCs w:val="18"/>
        </w:rPr>
        <w:t xml:space="preserve"> i dati raccolti;</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f)  nei report generati dal sistema non sarebbe visibile il nome dell'operatore.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2.4.  Alla luce della documentazione in atti e delle dichiarazioni rese dal titolare del trattamento nel corso dell'istruttoria, emerge che il sistema utilizzato dalla società "per la gestione delle code nelle operazioni di sportello" (cfr. nota 24.04.2017, p. 1, cit.) consente operazioni di trattamento di dati personali riferiti ai lavoratori addetti allo sportello. Tali operazioni consistono, in sintesi, nella visualizzazione, sul display presente su ogni singola postazione di sportello dell'ufficio postale, di alcuni dati personali tra i quali il nominativo o altro identificativo dell'operatore (es. pseudonimo) (art. 4, comma 1, lett. b) e c) del Codice; nota 15 settembre 2017, p. 2 in atti; cfr. punto 2.3., lett. a)); nella visualizzazione in tempo reale (e in alcuni casi continuativa), attraverso l'accesso alla console di monitoraggio, di una pluralità di informazioni di dettaglio relative, in particolare, allo stato di disponibilità dello sportello, alla gestione delle code e al tempo medio di evasione dei ticket serviti associati in via diretta al nominativo dell'operatore assegnato ad una determinata postazione di sportello (cfr. punto 2.3, lett. b); nella memorizzazione dei dati anche identificativi dell'operatore (nominativo) con possibilità di estrazione di reportistica: tale operazione risulta ancora effettuata allo stato attuale, in quanto, a tal proposito, la società ha precisato che "è in pianificazione un'iniziativa che prevede la cancellazione del nome dell'operatore dagli archivi e impedisca la storicizzazione del dato" (cfr. nota cit., p. 4). Al dipendente non è consentito "disabilitare la visualizzazione del nominativo" potendo questi eventualmente richiedere al direttore la momentanea modifica del nome (es. pseudonimo) atteso che "[…] il sistema di default recupera al momento della login il nome di battesimo"(p. 4). La società ha comunque assicurato che "non sono mai state fatte estrazioni […] utilizzando [come chiave di ricerca] i nomi" da parte degli "utenti della consolle" (cfr. nota cit., p. 4). Infine con specifico </w:t>
      </w:r>
      <w:r>
        <w:rPr>
          <w:rFonts w:ascii="Helvetica" w:hAnsi="Helvetica" w:cs="Helvetica"/>
          <w:color w:val="292929"/>
          <w:sz w:val="18"/>
          <w:szCs w:val="18"/>
        </w:rPr>
        <w:lastRenderedPageBreak/>
        <w:t xml:space="preserve">riferimento all'osservanza della disciplina </w:t>
      </w:r>
      <w:proofErr w:type="spellStart"/>
      <w:r>
        <w:rPr>
          <w:rFonts w:ascii="Helvetica" w:hAnsi="Helvetica" w:cs="Helvetica"/>
          <w:color w:val="292929"/>
          <w:sz w:val="18"/>
          <w:szCs w:val="18"/>
        </w:rPr>
        <w:t>lavoristica</w:t>
      </w:r>
      <w:proofErr w:type="spellEnd"/>
      <w:r>
        <w:rPr>
          <w:rFonts w:ascii="Helvetica" w:hAnsi="Helvetica" w:cs="Helvetica"/>
          <w:color w:val="292929"/>
          <w:sz w:val="18"/>
          <w:szCs w:val="18"/>
        </w:rPr>
        <w:t xml:space="preserve"> la società ha dichiarato che "il sistema costituisce uno strumento di lavoro disciplinato dall'art. 4, comma 2, della legge 300/70. Al momento l'azienda non utilizza i dati raccolti da tale sistema per le finalità connesse allo svolgimento del rapporto di lavoro e, conseguentemente, in coerenza con il comma 3 del medesimo articolo di legge, non è stata resa alcuna specifica informativa al personale" (p.4).</w:t>
      </w:r>
    </w:p>
    <w:p w:rsidR="00316603" w:rsidRDefault="00316603" w:rsidP="00316603">
      <w:pPr>
        <w:pStyle w:val="NormaleWeb"/>
        <w:shd w:val="clear" w:color="auto" w:fill="FFFFFF"/>
        <w:spacing w:before="150" w:beforeAutospacing="0" w:after="150" w:afterAutospacing="0"/>
        <w:jc w:val="center"/>
        <w:rPr>
          <w:rFonts w:ascii="Helvetica" w:hAnsi="Helvetica" w:cs="Helvetica"/>
          <w:color w:val="292929"/>
          <w:sz w:val="20"/>
          <w:szCs w:val="20"/>
        </w:rPr>
      </w:pPr>
      <w:r>
        <w:rPr>
          <w:rStyle w:val="Enfasigrassetto"/>
          <w:rFonts w:ascii="Helvetica" w:hAnsi="Helvetica" w:cs="Helvetica"/>
          <w:color w:val="292929"/>
          <w:sz w:val="18"/>
          <w:szCs w:val="18"/>
        </w:rPr>
        <w:t>CONSIDERATO</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3. Esiti dell'attività istruttoria.</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In base ad una complessiva valutazione degli elementi sopra richiamati e all'esito dell'esame delle dichiarazioni rese all'Autorità nel corso del procedimento ˗ della cui veridicità si può essere chiamati a rispondere ai sensi dell'art. 168 del Codice ˗ nonché della documentazione acquisita, emerge che le descritte operazioni di trattamento, effettuate dalla società in qualità di titolare per il tramite del personale abilitato e incaricato con diversi profili di accesso al sistema, danno luogo ad un trattamento di dati personali dei dipendenti che risultano per alcuni profili non conformi alla disciplina in materia di protezione dei dati personali, con particolare riferimento al principi di liceità e proporzionalità (art. 11, comma 1, lett. a) e d) del Codice), nei termini di seguito descritti.</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3.1. L'informativa agli interessati</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In via preliminare, non risulta che la società abbia fornito ai dipendenti la dovuta informativa circa modalità e finalità delle operazioni di trattamento rese possibili dal sistema "Gestore attese" (come descritte al punto 2.4.), né all'interno delle informative individualizzate rese a ciascun lavoratore all'atto dell'assunzione (cfr. informativa, nota 24.04.2017, all. 2) né con documenti informativi resi noti alla generalità dei dipendenti). Tanto, con particolare riferimento alla visualizzazione sul display, alla raccolta, alla conservazione e alle altre operazioni di trattamento dei dati anche su base individuale, quali emergono all'esito dell'attività istruttoria condotta (cfr. punto 2, </w:t>
      </w:r>
      <w:proofErr w:type="spellStart"/>
      <w:r>
        <w:rPr>
          <w:rFonts w:ascii="Helvetica" w:hAnsi="Helvetica" w:cs="Helvetica"/>
          <w:color w:val="292929"/>
          <w:sz w:val="18"/>
          <w:szCs w:val="18"/>
        </w:rPr>
        <w:t>supra</w:t>
      </w:r>
      <w:proofErr w:type="spellEnd"/>
      <w:r>
        <w:rPr>
          <w:rFonts w:ascii="Helvetica" w:hAnsi="Helvetica" w:cs="Helvetica"/>
          <w:color w:val="292929"/>
          <w:sz w:val="18"/>
          <w:szCs w:val="18"/>
        </w:rPr>
        <w:t>).</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A tal proposito si osserva che "la documentazione descrittiva" fornita, peraltro, alle sole organizzazioni sindacali in data 4 marzo 2015 (cfr. nota cit., all. n. 1) non può sostituire l'adempimento all'articolo 13 del Codice, sia in quanto non reca gli elementi essenziali richiesti dalla legge per l'informativa da rendere agli interessati, sia in quanto la modalità utilizzata dalla società per informare per il tramite delle organizzazioni sindacali la compagine dei lavoratori in merito all'installazione del sistema non risulta comunque idonea a rendere edotti individualmente tutti gli interessati con riguardo alle operazioni di trattamento effettuate.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Ciò risulta in contrasto con l'obbligo posto in capo al titolare del trattamento di fornire una preventiva informativa all'interessato in ordine alle caratteristiche essenziali dei trattamenti effettuati nonché con il principio di correttezza (in relazione agli articoli 11, comma 1, lett. a) e 13 del Codice).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A tal proposito si precisa che, contrariamente a quanto sostenuto dalla società, l'osservanza di tale disposizione normativa è in ogni caso dovuta ed è indipendente rispetto all'eventuale determinazione assunta dalla società circa la possibilità di utilizzare le informazioni raccolte "a tutti i fini connessi al rapporto di lavoro" (art. 4, comma 3 l. n. 300/1970).</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Peraltro, anche tali successive ed eventuali operazioni di trattamento presuppongono il rigoroso rispetto del quadro normativo di riferimento, sia in materia di protezione dei dati, che in materia di controlli a distanza dei lavoratori (artt. 3, 11, comma 1, lett. a), b), d), ed e) e 13 del Codice nonché 4, comma 3, l. n. 300/1970; sul punto, v.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24 maggio 2017, n. 247, doc. web n. </w:t>
      </w:r>
      <w:hyperlink r:id="rId5" w:history="1">
        <w:r>
          <w:rPr>
            <w:rStyle w:val="Collegamentoipertestuale"/>
            <w:rFonts w:ascii="Helvetica" w:hAnsi="Helvetica" w:cs="Helvetica"/>
            <w:b/>
            <w:bCs/>
            <w:color w:val="1C6685"/>
            <w:sz w:val="18"/>
            <w:szCs w:val="18"/>
            <w:u w:val="none"/>
          </w:rPr>
          <w:t>6495708</w:t>
        </w:r>
      </w:hyperlink>
      <w:r>
        <w:rPr>
          <w:rFonts w:ascii="Helvetica" w:hAnsi="Helvetica" w:cs="Helvetica"/>
          <w:color w:val="292929"/>
          <w:sz w:val="18"/>
          <w:szCs w:val="18"/>
        </w:rPr>
        <w:t>, spec. punto 5.3).</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3.2. La disciplina in materia di controlli a distanza.</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Quanto alle specifiche caratteristiche del trattamento dei dati reso possibile dal menzionato sistema, si osserva che esso è dotato di funzionalità che permettono, in particolare, oltre alla visualizzazione del nominativo del dipendente (e alla lingua da questo parlata) sul "display di Sportello e di Sala Consulenza", la visualizzazione in tempo reale, mediante accesso alla "console di monitoraggio" (senza prevedere alcuna limitazione rispetto ad una eventuale visualizzazione continuativa di un determinato Ufficio o di un determinato dipendente) delle informazioni di natura personale sopra indicate, nonché la memorizzazione delle stesse informazioni e l'estrazione di relativi report contenenti dati anche nominativi (cfr. punto 2.4.).</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Tali operazioni di trattamento, in particolare, la memorizzazione e la visualizzazione prolungata e, potenzialmente continuativa di una pluralità di informazioni di dettaglio, quali, ad esempio, lo stato (libero, disponibile) dell'operatore o il dato relativo ai tempi medi di evasione del cliente allo sportello, associati in tempo reale ed in via diretta al nominativo del dipendente danno luogo ad un monitoraggio costante dell'attività e della produttività del lavoratore, anche per l'impossibilità di disattivare la funzione di visualizzazione e di memorizzazione.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Il sistema utilizzato per la gestione delle attese allo sportello, non ponendosi come indispensabile per rendere la prestazione lavorativa (art. 4, comma 2, l. n. 300/1970; cfr. anche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xml:space="preserve">. 13 luglio 2016, n. 303, par. 4.3, doc web 5408460), rientra in quegli strumenti anche organizzativi, dai quali può indirettamente derivare il controllo a distanza dell'attività dei lavoratori, con conseguente necessità di attivare le procedure ivi previste che non possono essere soddisfatte con l'invio alle organizzazioni sindacali di un mero documento informatico o dall'eventuale acquiescenza dei lavoratori (cfr., Corte di Cassazione, III sez. </w:t>
      </w:r>
      <w:proofErr w:type="spellStart"/>
      <w:r>
        <w:rPr>
          <w:rFonts w:ascii="Helvetica" w:hAnsi="Helvetica" w:cs="Helvetica"/>
          <w:color w:val="292929"/>
          <w:sz w:val="18"/>
          <w:szCs w:val="18"/>
        </w:rPr>
        <w:t>pen</w:t>
      </w:r>
      <w:proofErr w:type="spellEnd"/>
      <w:r>
        <w:rPr>
          <w:rFonts w:ascii="Helvetica" w:hAnsi="Helvetica" w:cs="Helvetica"/>
          <w:color w:val="292929"/>
          <w:sz w:val="18"/>
          <w:szCs w:val="18"/>
        </w:rPr>
        <w:t xml:space="preserve">., n. 22148/2017; sul punto, tra i tanti,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n. 230 dell'8 maggio 2014, doc. web n. </w:t>
      </w:r>
      <w:hyperlink r:id="rId6" w:history="1">
        <w:r>
          <w:rPr>
            <w:rStyle w:val="Collegamentoipertestuale"/>
            <w:rFonts w:ascii="Helvetica" w:hAnsi="Helvetica" w:cs="Helvetica"/>
            <w:b/>
            <w:bCs/>
            <w:color w:val="1C6685"/>
            <w:sz w:val="18"/>
            <w:szCs w:val="18"/>
            <w:u w:val="none"/>
          </w:rPr>
          <w:t>3250490</w:t>
        </w:r>
      </w:hyperlink>
      <w:r>
        <w:rPr>
          <w:rFonts w:ascii="Helvetica" w:hAnsi="Helvetica" w:cs="Helvetica"/>
          <w:color w:val="292929"/>
          <w:sz w:val="18"/>
          <w:szCs w:val="18"/>
        </w:rPr>
        <w:t>).</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lastRenderedPageBreak/>
        <w:t>In conclusione, il sistema per come configurato risulta in contrasto con la disciplina in materia di protezione dei dati personali e con la rilevante disciplina di settore (artt. 11, comma 1, lett. a), 114 del Codice e art. 4, comma 1 legge 20.5.1970, n. 300).</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3.3. I principi di necessità, pertinenza, e non eccedenza. La proporzionalità del trattamento.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Il trattamento di dati personali consentito dal sistema appare, inoltre, non conforme ai principi di necessità, pertinenza e non eccedenza rispetto alle finalità perseguite (artt. 3, 11, comma 1, lett. d) del Codice).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Tanto, in particolare, con riguardo alla possibilità in capo a specifiche funzioni aziendali, anche a livello centrale, di accedere in tempo reale e in via continuativa ai dati su base individuale relativi a tutte le postazioni e a tutti gli operatori in servizio in un dato momento presso un determinato ufficio, seppur nell'ambito di un'area territoriale definita (che in alcuni casi può coincidere con l'intero territorio nazionale).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La società non ha peraltro precisato alla ricorrenza di quali specifiche anomalie sia consentito tale ampio monitoraggio individualizzato da parte delle funzioni aziendali, sia centrali che periferiche, né la presenza di altri idonei presupposti che possano legittimare sotto il profilo della proporzionalità il trattamento.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Le caratteristiche del sistema sopra delineate ed il controllo penetrante che ne consegue non appaiono infatti proporzionate alla luce delle stesse finalità "organizzative e produttive" "di sicurezza del lavoro" e "di tutela del patrimonio aziendale" consentite dalla richiamata disciplina di settore (artt. 3, 11, comma 1, d) e 114 del Codice e art. 4, legge 20.5.1970, n. 300; Raccomandazione Consiglio di Europa 1 aprile 2015, </w:t>
      </w:r>
      <w:proofErr w:type="spellStart"/>
      <w:r>
        <w:rPr>
          <w:rFonts w:ascii="Helvetica" w:hAnsi="Helvetica" w:cs="Helvetica"/>
          <w:color w:val="292929"/>
          <w:sz w:val="18"/>
          <w:szCs w:val="18"/>
        </w:rPr>
        <w:t>CM</w:t>
      </w:r>
      <w:proofErr w:type="spellEnd"/>
      <w:r>
        <w:rPr>
          <w:rFonts w:ascii="Helvetica" w:hAnsi="Helvetica" w:cs="Helvetica"/>
          <w:color w:val="292929"/>
          <w:sz w:val="18"/>
          <w:szCs w:val="18"/>
        </w:rPr>
        <w:t>/</w:t>
      </w:r>
      <w:proofErr w:type="spellStart"/>
      <w:r>
        <w:rPr>
          <w:rFonts w:ascii="Helvetica" w:hAnsi="Helvetica" w:cs="Helvetica"/>
          <w:color w:val="292929"/>
          <w:sz w:val="18"/>
          <w:szCs w:val="18"/>
        </w:rPr>
        <w:t>Rec</w:t>
      </w:r>
      <w:proofErr w:type="spellEnd"/>
      <w:r>
        <w:rPr>
          <w:rFonts w:ascii="Helvetica" w:hAnsi="Helvetica" w:cs="Helvetica"/>
          <w:color w:val="292929"/>
          <w:sz w:val="18"/>
          <w:szCs w:val="18"/>
        </w:rPr>
        <w:t xml:space="preserve">(2015)5, spec. </w:t>
      </w:r>
      <w:proofErr w:type="spellStart"/>
      <w:r>
        <w:rPr>
          <w:rFonts w:ascii="Helvetica" w:hAnsi="Helvetica" w:cs="Helvetica"/>
          <w:color w:val="292929"/>
          <w:sz w:val="18"/>
          <w:szCs w:val="18"/>
        </w:rPr>
        <w:t>princ</w:t>
      </w:r>
      <w:proofErr w:type="spellEnd"/>
      <w:r>
        <w:rPr>
          <w:rFonts w:ascii="Helvetica" w:hAnsi="Helvetica" w:cs="Helvetica"/>
          <w:color w:val="292929"/>
          <w:sz w:val="18"/>
          <w:szCs w:val="18"/>
        </w:rPr>
        <w:t xml:space="preserve">. 15; </w:t>
      </w:r>
      <w:proofErr w:type="spellStart"/>
      <w:r>
        <w:rPr>
          <w:rFonts w:ascii="Helvetica" w:hAnsi="Helvetica" w:cs="Helvetica"/>
          <w:color w:val="292929"/>
          <w:sz w:val="18"/>
          <w:szCs w:val="18"/>
        </w:rPr>
        <w:t>Provv.ti</w:t>
      </w:r>
      <w:proofErr w:type="spellEnd"/>
      <w:r>
        <w:rPr>
          <w:rFonts w:ascii="Helvetica" w:hAnsi="Helvetica" w:cs="Helvetica"/>
          <w:color w:val="292929"/>
          <w:sz w:val="18"/>
          <w:szCs w:val="18"/>
        </w:rPr>
        <w:t xml:space="preserve"> 22 dicembre 2016, n. 547, par. 3.5 doc. web n. </w:t>
      </w:r>
      <w:hyperlink r:id="rId7" w:history="1">
        <w:r>
          <w:rPr>
            <w:rStyle w:val="Collegamentoipertestuale"/>
            <w:rFonts w:ascii="Helvetica" w:hAnsi="Helvetica" w:cs="Helvetica"/>
            <w:b/>
            <w:bCs/>
            <w:color w:val="1C6685"/>
            <w:sz w:val="18"/>
            <w:szCs w:val="18"/>
            <w:u w:val="none"/>
          </w:rPr>
          <w:t>5958296 </w:t>
        </w:r>
      </w:hyperlink>
      <w:r>
        <w:rPr>
          <w:rFonts w:ascii="Helvetica" w:hAnsi="Helvetica" w:cs="Helvetica"/>
          <w:color w:val="292929"/>
          <w:sz w:val="18"/>
          <w:szCs w:val="18"/>
        </w:rPr>
        <w:t>e 13 luglio 2016, n. 303, par. 5, cit.).</w:t>
      </w:r>
    </w:p>
    <w:p w:rsidR="00316603" w:rsidRDefault="00316603" w:rsidP="00316603">
      <w:pPr>
        <w:pStyle w:val="NormaleWeb"/>
        <w:shd w:val="clear" w:color="auto" w:fill="FFFFFF"/>
        <w:spacing w:before="150" w:beforeAutospacing="0" w:after="150" w:afterAutospacing="0"/>
        <w:rPr>
          <w:rFonts w:ascii="Helvetica" w:hAnsi="Helvetica" w:cs="Helvetica"/>
          <w:color w:val="292929"/>
          <w:sz w:val="20"/>
          <w:szCs w:val="20"/>
        </w:rPr>
      </w:pPr>
      <w:r>
        <w:rPr>
          <w:rStyle w:val="Enfasigrassetto"/>
          <w:rFonts w:ascii="Helvetica" w:hAnsi="Helvetica" w:cs="Helvetica"/>
          <w:color w:val="292929"/>
          <w:sz w:val="18"/>
          <w:szCs w:val="18"/>
        </w:rPr>
        <w:t>3.4. La visualizzazione dei dati sul display dello sportello.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Con riguardo alla specifica funzione del sistema che ha dato origine all'istruttoria in questione e consistente nella visualizzazione anche del nome di battesimo del lavoratore sul display, si osserva che la comunicazione e la diffusione di informazioni personali riferite ai lavoratori risultano lecite se effettuate in presenza di specifiche disposizioni di legge che la impongano al datore di lavoro, ovvero di altro presupposto "equipollente"(artt. 4, comma 1, lett. m) e l) e 24 del Codice).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Sul punto, la società ha invocato, tra l'altro e per quanto applicabile, l'orientamento sostenuto dal Garante con riguardo all'uso dei tesserini identificativi appuntati sull'abito o sulla divisa del lavoratore, in base al quale "l'obbligo di portare in modo visibile un cartellino identificativo può trovare fondamento in alcune prescrizioni contenute in accordi sindacali aziendali, il cui rispetto può essere ricondotto alle prescrizioni del contratto di lavoro" (cfr. punto 5.3. delle Linee guida in materia di trattamento di dati personali di lavoratori per finalità di gestione del rapporto di lavoro alle dipendenze di datori di lavoro privati,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23 novembre 2006, n. 53, doc. web n.</w:t>
      </w:r>
      <w:hyperlink r:id="rId8" w:history="1">
        <w:r>
          <w:rPr>
            <w:rStyle w:val="Collegamentoipertestuale"/>
            <w:rFonts w:ascii="Helvetica" w:hAnsi="Helvetica" w:cs="Helvetica"/>
            <w:b/>
            <w:bCs/>
            <w:color w:val="1C6685"/>
            <w:sz w:val="18"/>
            <w:szCs w:val="18"/>
            <w:u w:val="none"/>
          </w:rPr>
          <w:t>1364939 </w:t>
        </w:r>
      </w:hyperlink>
      <w:r>
        <w:rPr>
          <w:rFonts w:ascii="Helvetica" w:hAnsi="Helvetica" w:cs="Helvetica"/>
          <w:color w:val="292929"/>
          <w:sz w:val="18"/>
          <w:szCs w:val="18"/>
        </w:rPr>
        <w:t xml:space="preserve">e punto 6.4. delle Linee guida in materia di trattamento di dati personali di lavoratori per finalità di gestione del rapporto di lavoro in ambito pubblico n. 23/2007, cit., ma già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11 dicembre 2000, doc. web n. </w:t>
      </w:r>
      <w:hyperlink r:id="rId9" w:history="1">
        <w:r>
          <w:rPr>
            <w:rStyle w:val="Collegamentoipertestuale"/>
            <w:rFonts w:ascii="Helvetica" w:hAnsi="Helvetica" w:cs="Helvetica"/>
            <w:b/>
            <w:bCs/>
            <w:color w:val="1C6685"/>
            <w:sz w:val="18"/>
            <w:szCs w:val="18"/>
            <w:u w:val="none"/>
          </w:rPr>
          <w:t>30991</w:t>
        </w:r>
      </w:hyperlink>
      <w:r>
        <w:rPr>
          <w:rFonts w:ascii="Helvetica" w:hAnsi="Helvetica" w:cs="Helvetica"/>
          <w:color w:val="292929"/>
          <w:sz w:val="18"/>
          <w:szCs w:val="18"/>
        </w:rPr>
        <w:t>).</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A questo riguardo, si osserva che la visualizzazione sul display posto sopra lo sportello dell'ufficio postale rappresenta, allo stato, una misura diversa ed ulteriore rispetto a quella, peraltro già in uso per il personale della società operante a contatto con il pubblico, consistente nell'apposizione del cartellino identificativo, come da contratto collettivo applicabile (l'art. 52, lett. i), del contratto collettivo nazionale di lavoro per il personale non dirigente di Poste Italiane S.p.A. prevede infatti l'obbligo per i lavoratori operanti a contatto con la clientela di esporre un adeguato contrassegno identificativo nel rispetto della disciplina di protezione dei dati personali).</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Deve ritenersi che le informazioni presenti nel cartellino identificativo, nel rispetto del principio di pertinenza e non eccedenza con riguardo alla finalità di miglioramento del rapporto con gli utenti, costituiscano già elementi informativi sufficienti a vantaggio dell'utenza e in concreto idonei a garantire la funzione identificativa degli operatori (ad esempio, al fine della predisposizione di un reclamo per il servizio reso).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La possibilità di raggiungere gli stessi legittimi obiettivi di trasparenza nei rapporti con i clienti con modalità diverse da quelle in uso potrà essere valutata, anche in alternativa al cartellino, previa idonea informativa ai lavoratori interessati,  avuto riguardo a specifiche necessità derivanti, ad esempio, dalle dimensioni della struttura, dal numero degli operatori che vi prestano servizio, dalle mansioni svolte da ciascuno, dal bacino di utenza del singolo ufficio postale.</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A tal proposito si prende atto delle valutazioni effettuate dalla società, sia in termini di </w:t>
      </w:r>
      <w:proofErr w:type="spellStart"/>
      <w:r>
        <w:rPr>
          <w:rFonts w:ascii="Helvetica" w:hAnsi="Helvetica" w:cs="Helvetica"/>
          <w:color w:val="292929"/>
          <w:sz w:val="18"/>
          <w:szCs w:val="18"/>
        </w:rPr>
        <w:t>alternatività</w:t>
      </w:r>
      <w:proofErr w:type="spellEnd"/>
      <w:r>
        <w:rPr>
          <w:rFonts w:ascii="Helvetica" w:hAnsi="Helvetica" w:cs="Helvetica"/>
          <w:color w:val="292929"/>
          <w:sz w:val="18"/>
          <w:szCs w:val="18"/>
        </w:rPr>
        <w:t xml:space="preserve"> del sistema ("l'esposizione del nome […] anziché sul cartellino posto sull'abito, sul display del "Gestore Attese" […]", cfr. p. 4, nota cit. ), sia in termini di minimizzazione del trattamento, nell'ambito della valutazione di proporzionalità rispetto alla finalità perseguita, con riguardo all'arco temporale di esposizione del nominativo dell'operatore (la società starebbe infatti "valutando l'opportunità di poter limitare il tempo di esposizione del nome del dipendente sul display per il tempo strettamente necessario tra la comparsa dello sportello sul tabellone principale e l'arrivo del cliente allo specifico sportello di destinazione"(punto 2.1., lett. d), </w:t>
      </w:r>
      <w:proofErr w:type="spellStart"/>
      <w:r>
        <w:rPr>
          <w:rFonts w:ascii="Helvetica" w:hAnsi="Helvetica" w:cs="Helvetica"/>
          <w:color w:val="292929"/>
          <w:sz w:val="18"/>
          <w:szCs w:val="18"/>
        </w:rPr>
        <w:t>supra</w:t>
      </w:r>
      <w:proofErr w:type="spellEnd"/>
      <w:r>
        <w:rPr>
          <w:rFonts w:ascii="Helvetica" w:hAnsi="Helvetica" w:cs="Helvetica"/>
          <w:color w:val="292929"/>
          <w:sz w:val="18"/>
          <w:szCs w:val="18"/>
        </w:rPr>
        <w:t>).</w:t>
      </w:r>
    </w:p>
    <w:p w:rsidR="00316603" w:rsidRDefault="00316603" w:rsidP="00316603">
      <w:pPr>
        <w:pStyle w:val="NormaleWeb"/>
        <w:shd w:val="clear" w:color="auto" w:fill="FFFFFF"/>
        <w:spacing w:before="150" w:beforeAutospacing="0" w:after="150" w:afterAutospacing="0"/>
        <w:jc w:val="center"/>
        <w:rPr>
          <w:rFonts w:ascii="Helvetica" w:hAnsi="Helvetica" w:cs="Helvetica"/>
          <w:color w:val="292929"/>
          <w:sz w:val="20"/>
          <w:szCs w:val="20"/>
        </w:rPr>
      </w:pPr>
      <w:r>
        <w:rPr>
          <w:rStyle w:val="Enfasigrassetto"/>
          <w:rFonts w:ascii="Helvetica" w:hAnsi="Helvetica" w:cs="Helvetica"/>
          <w:color w:val="292929"/>
          <w:sz w:val="18"/>
          <w:szCs w:val="18"/>
        </w:rPr>
        <w:t>RITENUTO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 xml:space="preserve">4. Ciò considerato, ritenuto illecito il trattamento effettuato da parte di Poste italiane S.p.A. nei termini sopra indicati (cfr. par. 3.1, 3.2, 3.3) per violazione degli articoli 3, 11, comma 1, lett. a) e d), 13 e 114 del Codice, il Garante, ai sensi degli articoli 143, comma 1, lett. c), e 154, comma 1, lett. d), del Codice, ritiene di dover vietare con effetto immediato dalla data di ricezione del presente provvedimento, il trattamento descritto in motivazione, con la conseguente inutilizzabilità </w:t>
      </w:r>
      <w:r>
        <w:rPr>
          <w:rFonts w:ascii="Helvetica" w:hAnsi="Helvetica" w:cs="Helvetica"/>
          <w:color w:val="292929"/>
          <w:sz w:val="18"/>
          <w:szCs w:val="18"/>
        </w:rPr>
        <w:lastRenderedPageBreak/>
        <w:t>dei dati trattati in violazione di legge, ai sensi dell'art. 11, comma 2 del Codice, salva la conservazione dei dati finora trattati ai fini di un'eventuale acquisizione degli stessi da parte dell'autorità giudiziaria, nonché per esigenze di tutela dei diritti in sede giudiziaria.</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Si ricorda che, ai sensi dell'articolo 170 del Codice, chiunque, essendovi tenuto, non osserva il presente provvedimento di divieto è punito con la reclusione da tre mesi a due anni e che, ai sensi dell'articolo 162, comma 2-ter del Codice, in caso di inosservanza del medesimo provvedimento, è altresì applicata in sede amministrativa, in ogni caso, la sanzione del pagamento di una somma da trentamila a centottantamila euro.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Fonts w:ascii="Helvetica" w:hAnsi="Helvetica" w:cs="Helvetica"/>
          <w:color w:val="292929"/>
          <w:sz w:val="18"/>
          <w:szCs w:val="18"/>
        </w:rPr>
        <w:t>L'Autorità si riserva di valutare, con autonomo procedimento, la sussistenza di violazioni amministrative in capo al titolare del trattamento.</w:t>
      </w:r>
    </w:p>
    <w:p w:rsidR="00316603" w:rsidRDefault="00316603" w:rsidP="00316603">
      <w:pPr>
        <w:pStyle w:val="NormaleWeb"/>
        <w:shd w:val="clear" w:color="auto" w:fill="FFFFFF"/>
        <w:spacing w:before="150" w:beforeAutospacing="0" w:after="150" w:afterAutospacing="0"/>
        <w:ind w:left="600"/>
        <w:jc w:val="center"/>
        <w:rPr>
          <w:rFonts w:ascii="Helvetica" w:hAnsi="Helvetica" w:cs="Helvetica"/>
          <w:color w:val="292929"/>
          <w:sz w:val="20"/>
          <w:szCs w:val="20"/>
        </w:rPr>
      </w:pPr>
      <w:r>
        <w:rPr>
          <w:rStyle w:val="Enfasigrassetto"/>
          <w:rFonts w:ascii="Helvetica" w:hAnsi="Helvetica" w:cs="Helvetica"/>
          <w:color w:val="292929"/>
          <w:sz w:val="18"/>
          <w:szCs w:val="18"/>
        </w:rPr>
        <w:t>TUTTO CIÒ PREMESSO  IL GARANTE</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nei confronti di Poste Italiane S.p.A.:</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1. dichiara illecito il trattamento descritto in motivazione, con la conseguente inutilizzabilità dei dati trattati in violazione di legge, ai sensi dell'art. 11, comma 2 del Codice (punto 4);</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2. ai sensi degli artt. 143, comma 1, lett. c), e 154, comma 1, lett. d), del Codice, dispone, con effetto immediato dalla data di ricezione del presente provvedimento, il divieto dell'ulteriore trattamento dei dati personali sopra indicati con conservazione di quelli finora trattati ai fini di un'eventuale acquisizione degli stessi da parte dell'autorità giudiziaria, nonché per esigenze di tutela dei diritti in sede giudiziaria;</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3. ai sensi dell'art. 157 del Codice, invita, altresì, entro trenta giorni dalla data di ricezione presente provvedimento, a comunicare quali iniziative siano state intraprese al fine di dare attuazione a quanto vietato e prescritto nel presente provvedimento e di fornire comunque riscontro adeguatamente documentato. Si ricorda che il mancato riscontro alla richiesta ai sensi dell'art. 157 è punito con la sanzione amministrativa di cui all'art. 164 del Codice.</w:t>
      </w:r>
    </w:p>
    <w:p w:rsidR="00316603" w:rsidRDefault="00316603" w:rsidP="00316603">
      <w:pPr>
        <w:pStyle w:val="NormaleWeb"/>
        <w:shd w:val="clear" w:color="auto" w:fill="FFFFFF"/>
        <w:spacing w:before="150" w:beforeAutospacing="0" w:after="150" w:afterAutospacing="0"/>
        <w:ind w:left="600"/>
        <w:jc w:val="both"/>
        <w:rPr>
          <w:rFonts w:ascii="Helvetica" w:hAnsi="Helvetica" w:cs="Helvetica"/>
          <w:color w:val="292929"/>
          <w:sz w:val="20"/>
          <w:szCs w:val="20"/>
        </w:rPr>
      </w:pPr>
      <w:r>
        <w:rPr>
          <w:rFonts w:ascii="Helvetica" w:hAnsi="Helvetica" w:cs="Helvetica"/>
          <w:color w:val="292929"/>
          <w:sz w:val="18"/>
          <w:szCs w:val="18"/>
        </w:rPr>
        <w:t>Avverso il presente provvedimento, ai sensi dell'articolo 152 del Codice, può essere proposta opposizione davanti al tribunale ordinario del luogo ove ha sede il titolare del trattamento entro il termine di trenta giorni dalla notificazione del provvedimento stesso.</w:t>
      </w:r>
    </w:p>
    <w:p w:rsidR="00316603" w:rsidRDefault="00316603" w:rsidP="00316603">
      <w:pPr>
        <w:pStyle w:val="NormaleWeb"/>
        <w:shd w:val="clear" w:color="auto" w:fill="FFFFFF"/>
        <w:spacing w:before="150" w:beforeAutospacing="0" w:after="150" w:afterAutospacing="0"/>
        <w:jc w:val="both"/>
        <w:rPr>
          <w:rFonts w:ascii="Helvetica" w:hAnsi="Helvetica" w:cs="Helvetica"/>
          <w:color w:val="292929"/>
          <w:sz w:val="20"/>
          <w:szCs w:val="20"/>
        </w:rPr>
      </w:pPr>
      <w:r>
        <w:rPr>
          <w:rStyle w:val="Enfasicorsivo"/>
          <w:rFonts w:ascii="Helvetica" w:hAnsi="Helvetica" w:cs="Helvetica"/>
          <w:color w:val="292929"/>
          <w:sz w:val="18"/>
          <w:szCs w:val="18"/>
        </w:rPr>
        <w:t>Roma, 16 novembre 2017</w:t>
      </w:r>
    </w:p>
    <w:p w:rsidR="00316603" w:rsidRDefault="00316603" w:rsidP="00316603">
      <w:pPr>
        <w:pStyle w:val="NormaleWeb"/>
        <w:shd w:val="clear" w:color="auto" w:fill="FFFFFF"/>
        <w:spacing w:before="150" w:beforeAutospacing="0" w:after="150" w:afterAutospacing="0"/>
        <w:jc w:val="right"/>
        <w:rPr>
          <w:rFonts w:ascii="Helvetica" w:hAnsi="Helvetica" w:cs="Helvetica"/>
          <w:color w:val="292929"/>
          <w:sz w:val="20"/>
          <w:szCs w:val="20"/>
        </w:rPr>
      </w:pPr>
      <w:r>
        <w:rPr>
          <w:rFonts w:ascii="Helvetica" w:hAnsi="Helvetica" w:cs="Helvetica"/>
          <w:color w:val="292929"/>
          <w:sz w:val="18"/>
          <w:szCs w:val="18"/>
        </w:rPr>
        <w:t>IL PRESIDENTE</w:t>
      </w:r>
      <w:r>
        <w:rPr>
          <w:rFonts w:ascii="Helvetica" w:hAnsi="Helvetica" w:cs="Helvetica"/>
          <w:color w:val="292929"/>
          <w:sz w:val="18"/>
          <w:szCs w:val="18"/>
        </w:rPr>
        <w:br/>
        <w:t>Soro</w:t>
      </w:r>
    </w:p>
    <w:p w:rsidR="00316603" w:rsidRDefault="00316603" w:rsidP="00316603">
      <w:pPr>
        <w:pStyle w:val="NormaleWeb"/>
        <w:shd w:val="clear" w:color="auto" w:fill="FFFFFF"/>
        <w:spacing w:before="150" w:beforeAutospacing="0" w:after="150" w:afterAutospacing="0"/>
        <w:jc w:val="right"/>
        <w:rPr>
          <w:rFonts w:ascii="Helvetica" w:hAnsi="Helvetica" w:cs="Helvetica"/>
          <w:color w:val="292929"/>
          <w:sz w:val="20"/>
          <w:szCs w:val="20"/>
        </w:rPr>
      </w:pPr>
      <w:r>
        <w:rPr>
          <w:rFonts w:ascii="Helvetica" w:hAnsi="Helvetica" w:cs="Helvetica"/>
          <w:color w:val="292929"/>
          <w:sz w:val="18"/>
          <w:szCs w:val="18"/>
        </w:rPr>
        <w:t>IL RELATORE</w:t>
      </w:r>
      <w:r>
        <w:rPr>
          <w:rFonts w:ascii="Helvetica" w:hAnsi="Helvetica" w:cs="Helvetica"/>
          <w:color w:val="292929"/>
          <w:sz w:val="18"/>
          <w:szCs w:val="18"/>
        </w:rPr>
        <w:br/>
        <w:t>Soro</w:t>
      </w:r>
    </w:p>
    <w:p w:rsidR="00316603" w:rsidRDefault="00316603" w:rsidP="00316603">
      <w:pPr>
        <w:pStyle w:val="NormaleWeb"/>
        <w:shd w:val="clear" w:color="auto" w:fill="FFFFFF"/>
        <w:spacing w:before="150" w:beforeAutospacing="0" w:after="150" w:afterAutospacing="0"/>
        <w:jc w:val="right"/>
        <w:rPr>
          <w:rFonts w:ascii="Helvetica" w:hAnsi="Helvetica" w:cs="Helvetica"/>
          <w:color w:val="292929"/>
          <w:sz w:val="20"/>
          <w:szCs w:val="20"/>
        </w:rPr>
      </w:pPr>
      <w:r>
        <w:rPr>
          <w:rFonts w:ascii="Helvetica" w:hAnsi="Helvetica" w:cs="Helvetica"/>
          <w:color w:val="292929"/>
          <w:sz w:val="18"/>
          <w:szCs w:val="18"/>
        </w:rPr>
        <w:t>IL SEGRETARIO GENERALE</w:t>
      </w:r>
      <w:r>
        <w:rPr>
          <w:rFonts w:ascii="Helvetica" w:hAnsi="Helvetica" w:cs="Helvetica"/>
          <w:color w:val="292929"/>
          <w:sz w:val="18"/>
          <w:szCs w:val="18"/>
        </w:rPr>
        <w:br/>
      </w:r>
      <w:proofErr w:type="spellStart"/>
      <w:r>
        <w:rPr>
          <w:rFonts w:ascii="Helvetica" w:hAnsi="Helvetica" w:cs="Helvetica"/>
          <w:color w:val="292929"/>
          <w:sz w:val="18"/>
          <w:szCs w:val="18"/>
        </w:rPr>
        <w:t>Busia</w:t>
      </w:r>
      <w:proofErr w:type="spellEnd"/>
    </w:p>
    <w:p w:rsidR="00316603" w:rsidRDefault="00316603" w:rsidP="003F116C"/>
    <w:sectPr w:rsidR="00316603" w:rsidSect="0075657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3F116C"/>
    <w:rsid w:val="00316603"/>
    <w:rsid w:val="003F116C"/>
    <w:rsid w:val="0068553B"/>
    <w:rsid w:val="0075657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116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F11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F116C"/>
    <w:rPr>
      <w:b/>
      <w:bCs/>
    </w:rPr>
  </w:style>
  <w:style w:type="character" w:styleId="Collegamentoipertestuale">
    <w:name w:val="Hyperlink"/>
    <w:basedOn w:val="Carpredefinitoparagrafo"/>
    <w:uiPriority w:val="99"/>
    <w:semiHidden/>
    <w:unhideWhenUsed/>
    <w:rsid w:val="00316603"/>
    <w:rPr>
      <w:color w:val="0000FF"/>
      <w:u w:val="single"/>
    </w:rPr>
  </w:style>
  <w:style w:type="character" w:styleId="Enfasicorsivo">
    <w:name w:val="Emphasis"/>
    <w:basedOn w:val="Carpredefinitoparagrafo"/>
    <w:uiPriority w:val="20"/>
    <w:qFormat/>
    <w:rsid w:val="00316603"/>
    <w:rPr>
      <w:i/>
      <w:iCs/>
    </w:rPr>
  </w:style>
</w:styles>
</file>

<file path=word/webSettings.xml><?xml version="1.0" encoding="utf-8"?>
<w:webSettings xmlns:r="http://schemas.openxmlformats.org/officeDocument/2006/relationships" xmlns:w="http://schemas.openxmlformats.org/wordprocessingml/2006/main">
  <w:divs>
    <w:div w:id="430902823">
      <w:bodyDiv w:val="1"/>
      <w:marLeft w:val="0"/>
      <w:marRight w:val="0"/>
      <w:marTop w:val="0"/>
      <w:marBottom w:val="0"/>
      <w:divBdr>
        <w:top w:val="none" w:sz="0" w:space="0" w:color="auto"/>
        <w:left w:val="none" w:sz="0" w:space="0" w:color="auto"/>
        <w:bottom w:val="none" w:sz="0" w:space="0" w:color="auto"/>
        <w:right w:val="none" w:sz="0" w:space="0" w:color="auto"/>
      </w:divBdr>
      <w:divsChild>
        <w:div w:id="566770756">
          <w:marLeft w:val="0"/>
          <w:marRight w:val="0"/>
          <w:marTop w:val="0"/>
          <w:marBottom w:val="0"/>
          <w:divBdr>
            <w:top w:val="none" w:sz="0" w:space="0" w:color="auto"/>
            <w:left w:val="none" w:sz="0" w:space="0" w:color="auto"/>
            <w:bottom w:val="none" w:sz="0" w:space="0" w:color="auto"/>
            <w:right w:val="none" w:sz="0" w:space="0" w:color="auto"/>
          </w:divBdr>
          <w:divsChild>
            <w:div w:id="200897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garante/doc.jsp?ID=1364939" TargetMode="External"/><Relationship Id="rId3" Type="http://schemas.openxmlformats.org/officeDocument/2006/relationships/webSettings" Target="webSettings.xml"/><Relationship Id="rId7" Type="http://schemas.openxmlformats.org/officeDocument/2006/relationships/hyperlink" Target="http://0.90.234.1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anteprivacy.it/garante/doc.jsp?ID=3250490" TargetMode="External"/><Relationship Id="rId11" Type="http://schemas.openxmlformats.org/officeDocument/2006/relationships/theme" Target="theme/theme1.xml"/><Relationship Id="rId5" Type="http://schemas.openxmlformats.org/officeDocument/2006/relationships/hyperlink" Target="http://www.garanteprivacy.it/garante/doc.jsp?ID=6495708" TargetMode="External"/><Relationship Id="rId10" Type="http://schemas.openxmlformats.org/officeDocument/2006/relationships/fontTable" Target="fontTable.xml"/><Relationship Id="rId4" Type="http://schemas.openxmlformats.org/officeDocument/2006/relationships/hyperlink" Target="http://www.garanteprivacy.it/garante/doc.jsp?ID=5947045" TargetMode="External"/><Relationship Id="rId9" Type="http://schemas.openxmlformats.org/officeDocument/2006/relationships/hyperlink" Target="http://www.garanteprivacy.it/garante/doc.jsp?ID=3099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3869</Words>
  <Characters>22055</Characters>
  <Application>Microsoft Office Word</Application>
  <DocSecurity>0</DocSecurity>
  <Lines>183</Lines>
  <Paragraphs>51</Paragraphs>
  <ScaleCrop>false</ScaleCrop>
  <Company/>
  <LinksUpToDate>false</LinksUpToDate>
  <CharactersWithSpaces>25873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2</cp:revision>
  <dcterms:created xsi:type="dcterms:W3CDTF">2017-12-24T09:09:00Z</dcterms:created>
  <dcterms:modified xsi:type="dcterms:W3CDTF">2017-12-24T09:09:00Z</dcterms:modified>
</cp:coreProperties>
</file>